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8FE57" w14:textId="77777777" w:rsidR="00125304" w:rsidRDefault="00125304" w:rsidP="00125304">
      <w:pPr>
        <w:jc w:val="center"/>
        <w:rPr>
          <w:color w:val="0B6965"/>
        </w:rPr>
      </w:pPr>
    </w:p>
    <w:p w14:paraId="3C948B6E" w14:textId="3F6841F8" w:rsidR="00737449" w:rsidRPr="00737449" w:rsidRDefault="00737449" w:rsidP="00737449">
      <w:pPr>
        <w:spacing w:after="240" w:line="276" w:lineRule="auto"/>
        <w:contextualSpacing/>
        <w:jc w:val="center"/>
        <w:rPr>
          <w:b/>
          <w:color w:val="000000" w:themeColor="text1"/>
          <w:sz w:val="24"/>
        </w:rPr>
      </w:pPr>
      <w:r w:rsidRPr="00737449">
        <w:rPr>
          <w:b/>
          <w:color w:val="000000" w:themeColor="text1"/>
          <w:sz w:val="24"/>
        </w:rPr>
        <w:t>CONSULTATION PAPER</w:t>
      </w:r>
      <w:r>
        <w:rPr>
          <w:b/>
          <w:color w:val="000000" w:themeColor="text1"/>
          <w:sz w:val="24"/>
        </w:rPr>
        <w:t xml:space="preserve"> </w:t>
      </w:r>
      <w:r w:rsidRPr="00737449">
        <w:rPr>
          <w:b/>
          <w:color w:val="000000" w:themeColor="text1"/>
          <w:sz w:val="24"/>
        </w:rPr>
        <w:t>ON THE</w:t>
      </w:r>
      <w:r>
        <w:rPr>
          <w:b/>
          <w:color w:val="000000" w:themeColor="text1"/>
          <w:sz w:val="24"/>
        </w:rPr>
        <w:t xml:space="preserve"> </w:t>
      </w:r>
      <w:r w:rsidRPr="00737449">
        <w:rPr>
          <w:b/>
          <w:color w:val="000000" w:themeColor="text1"/>
          <w:sz w:val="24"/>
        </w:rPr>
        <w:t xml:space="preserve">RECOMMENDATIONS FOR EONIA OF THE </w:t>
      </w:r>
    </w:p>
    <w:p w14:paraId="29B5C870" w14:textId="77777777" w:rsidR="00737449" w:rsidRPr="00737449" w:rsidRDefault="00737449" w:rsidP="00737449">
      <w:pPr>
        <w:spacing w:after="240" w:line="276" w:lineRule="auto"/>
        <w:contextualSpacing/>
        <w:jc w:val="center"/>
        <w:rPr>
          <w:b/>
          <w:color w:val="000000" w:themeColor="text1"/>
          <w:sz w:val="24"/>
        </w:rPr>
      </w:pPr>
      <w:r w:rsidRPr="00737449">
        <w:rPr>
          <w:b/>
          <w:color w:val="000000" w:themeColor="text1"/>
          <w:sz w:val="24"/>
        </w:rPr>
        <w:t>WORKING GROUP ON EURO RISK-FREE RATES</w:t>
      </w:r>
    </w:p>
    <w:p w14:paraId="7A7AC1C5" w14:textId="299DBF2A" w:rsidR="00125304" w:rsidRPr="00737449" w:rsidRDefault="00737449" w:rsidP="00737449">
      <w:pPr>
        <w:spacing w:before="120" w:line="276" w:lineRule="auto"/>
        <w:jc w:val="center"/>
        <w:rPr>
          <w:b/>
          <w:color w:val="000000" w:themeColor="text1"/>
          <w:sz w:val="24"/>
        </w:rPr>
      </w:pPr>
      <w:r w:rsidRPr="00737449">
        <w:rPr>
          <w:b/>
          <w:color w:val="000000" w:themeColor="text1"/>
          <w:sz w:val="24"/>
        </w:rPr>
        <w:t>20 March 2019</w:t>
      </w:r>
    </w:p>
    <w:p w14:paraId="1343E5E4" w14:textId="77777777" w:rsidR="00125304" w:rsidRPr="00125304" w:rsidRDefault="00125304" w:rsidP="00125304">
      <w:pPr>
        <w:jc w:val="center"/>
        <w:rPr>
          <w:b/>
          <w:color w:val="0B6965"/>
        </w:rPr>
      </w:pPr>
    </w:p>
    <w:p w14:paraId="19049812" w14:textId="7A4DE638" w:rsidR="00027A01" w:rsidRDefault="00737449" w:rsidP="00737449">
      <w:pPr>
        <w:tabs>
          <w:tab w:val="center" w:pos="4677"/>
          <w:tab w:val="left" w:pos="5895"/>
        </w:tabs>
        <w:jc w:val="center"/>
        <w:rPr>
          <w:b/>
          <w:color w:val="11689B"/>
        </w:rPr>
      </w:pPr>
      <w:r>
        <w:rPr>
          <w:b/>
          <w:color w:val="11689B"/>
        </w:rPr>
        <w:t>Questionnaire</w:t>
      </w:r>
    </w:p>
    <w:p w14:paraId="4001F5D9" w14:textId="77777777" w:rsidR="00737449" w:rsidRDefault="00737449" w:rsidP="00737449">
      <w:pPr>
        <w:tabs>
          <w:tab w:val="center" w:pos="4677"/>
          <w:tab w:val="left" w:pos="5895"/>
          <w:tab w:val="left" w:pos="8789"/>
        </w:tabs>
        <w:jc w:val="center"/>
        <w:rPr>
          <w:b/>
          <w:color w:val="11689B"/>
        </w:rPr>
      </w:pPr>
    </w:p>
    <w:p w14:paraId="6DF0B3E5" w14:textId="4EB5C2A1" w:rsidR="00595957" w:rsidRPr="00635959" w:rsidRDefault="00595957" w:rsidP="00595957">
      <w:pPr>
        <w:jc w:val="center"/>
        <w:rPr>
          <w:i/>
          <w:sz w:val="20"/>
        </w:rPr>
      </w:pPr>
    </w:p>
    <w:p w14:paraId="2A635F4B" w14:textId="77777777" w:rsidR="00737449" w:rsidRDefault="00737449" w:rsidP="001B17C8">
      <w:pPr>
        <w:spacing w:after="240" w:line="276" w:lineRule="auto"/>
        <w:jc w:val="both"/>
        <w:rPr>
          <w:sz w:val="20"/>
        </w:rPr>
        <w:sectPr w:rsidR="00737449" w:rsidSect="004D2C3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1133" w:bottom="1276" w:left="1418" w:header="709" w:footer="788" w:gutter="0"/>
          <w:pgNumType w:start="1"/>
          <w:cols w:space="708"/>
          <w:titlePg/>
          <w:docGrid w:linePitch="360"/>
        </w:sectPr>
      </w:pPr>
    </w:p>
    <w:p w14:paraId="733F1FCF" w14:textId="55C96638" w:rsidR="001B17C8" w:rsidRPr="001B17C8" w:rsidRDefault="001B17C8" w:rsidP="001B17C8">
      <w:pPr>
        <w:spacing w:after="240" w:line="276" w:lineRule="auto"/>
        <w:jc w:val="both"/>
        <w:rPr>
          <w:sz w:val="20"/>
        </w:rPr>
      </w:pPr>
      <w:r w:rsidRPr="001B17C8">
        <w:rPr>
          <w:sz w:val="20"/>
        </w:rPr>
        <w:t>EONIA is a major reference rate for the European money markets, as it represents the rate at which banks lend funds in the overnight interbank money markets in euro. It is a fully transaction-based reference rate, calculated on the basis of the submissions coming from a panel of 28 credit institutions (the Panel Banks), which report, on a daily basis, the volume-weighted average rate of their executed overnight interbank lending transactions, as well as the corresponding aggregated notional volume.</w:t>
      </w:r>
    </w:p>
    <w:p w14:paraId="57B443D4" w14:textId="77777777" w:rsidR="001B17C8" w:rsidRPr="001B17C8" w:rsidRDefault="001B17C8" w:rsidP="001B17C8">
      <w:pPr>
        <w:spacing w:after="240" w:line="276" w:lineRule="auto"/>
        <w:jc w:val="both"/>
        <w:rPr>
          <w:sz w:val="20"/>
        </w:rPr>
      </w:pPr>
      <w:r w:rsidRPr="001B17C8">
        <w:rPr>
          <w:sz w:val="20"/>
        </w:rPr>
        <w:t>In 2016, seeking to enhance EONIA’s governance and align its determination with the requirements of the EU Benchmarks Regulation (EU BMR),</w:t>
      </w:r>
      <w:r w:rsidRPr="001B17C8">
        <w:rPr>
          <w:sz w:val="20"/>
          <w:vertAlign w:val="superscript"/>
        </w:rPr>
        <w:footnoteReference w:id="1"/>
      </w:r>
      <w:r w:rsidRPr="001B17C8">
        <w:rPr>
          <w:sz w:val="20"/>
        </w:rPr>
        <w:t xml:space="preserve"> EMMI launched the </w:t>
      </w:r>
      <w:r w:rsidRPr="001B17C8">
        <w:rPr>
          <w:b/>
          <w:sz w:val="20"/>
        </w:rPr>
        <w:t>EONIA Review</w:t>
      </w:r>
      <w:r w:rsidRPr="001B17C8">
        <w:rPr>
          <w:sz w:val="20"/>
        </w:rPr>
        <w:t xml:space="preserve">. As part of this </w:t>
      </w:r>
      <w:proofErr w:type="spellStart"/>
      <w:r w:rsidRPr="001B17C8">
        <w:rPr>
          <w:sz w:val="20"/>
        </w:rPr>
        <w:t>programme</w:t>
      </w:r>
      <w:proofErr w:type="spellEnd"/>
      <w:r w:rsidRPr="001B17C8">
        <w:rPr>
          <w:sz w:val="20"/>
        </w:rPr>
        <w:t>, EMMI also intended to enhance EONIA’s methodology, in view of some shortcomings that had been historically observed.</w:t>
      </w:r>
    </w:p>
    <w:p w14:paraId="399B1121" w14:textId="77777777" w:rsidR="001B17C8" w:rsidRPr="001B17C8" w:rsidRDefault="001B17C8" w:rsidP="000B181A">
      <w:pPr>
        <w:spacing w:after="120" w:line="276" w:lineRule="auto"/>
        <w:jc w:val="both"/>
        <w:rPr>
          <w:color w:val="11689B"/>
          <w:sz w:val="20"/>
        </w:rPr>
      </w:pPr>
      <w:r w:rsidRPr="001B17C8">
        <w:rPr>
          <w:color w:val="11689B"/>
          <w:sz w:val="20"/>
        </w:rPr>
        <w:t>EONIA’s underlying dynamics</w:t>
      </w:r>
    </w:p>
    <w:p w14:paraId="0CECF529" w14:textId="77777777" w:rsidR="001B17C8" w:rsidRPr="001B17C8" w:rsidRDefault="001B17C8" w:rsidP="001B17C8">
      <w:pPr>
        <w:spacing w:after="240" w:line="276" w:lineRule="auto"/>
        <w:jc w:val="both"/>
        <w:rPr>
          <w:sz w:val="20"/>
        </w:rPr>
      </w:pPr>
      <w:r w:rsidRPr="001B17C8">
        <w:rPr>
          <w:sz w:val="20"/>
        </w:rPr>
        <w:t xml:space="preserve">The low underlying EONIA volumes represent the market it intends to measure. The current monetary policy environment, coupled with macro-prudential measures, does not encourage unsecured short-term lending between banks. According to the </w:t>
      </w:r>
      <w:hyperlink r:id="rId14" w:history="1">
        <w:r w:rsidRPr="001B17C8">
          <w:rPr>
            <w:rStyle w:val="Hyperlink"/>
            <w:rFonts w:ascii="Calibri" w:hAnsi="Calibri"/>
            <w:sz w:val="20"/>
          </w:rPr>
          <w:t>ECB’s study</w:t>
        </w:r>
      </w:hyperlink>
      <w:r w:rsidRPr="001B17C8">
        <w:rPr>
          <w:sz w:val="20"/>
        </w:rPr>
        <w:t xml:space="preserve"> of the size of the unsecured overnight money market based on TARGET2</w:t>
      </w:r>
      <w:r w:rsidRPr="001B17C8">
        <w:rPr>
          <w:sz w:val="20"/>
          <w:vertAlign w:val="superscript"/>
        </w:rPr>
        <w:footnoteReference w:id="2"/>
      </w:r>
      <w:r w:rsidRPr="001B17C8">
        <w:rPr>
          <w:sz w:val="20"/>
        </w:rPr>
        <w:t xml:space="preserve"> data, “volumes stood on average at EUR 6 billion (…) in September 2017.” EONIA’s </w:t>
      </w:r>
      <w:r w:rsidRPr="001B17C8">
        <w:rPr>
          <w:sz w:val="20"/>
        </w:rPr>
        <w:t>average underlying volume in that same month was EUR 7.2 billion.</w:t>
      </w:r>
      <w:r w:rsidRPr="001B17C8">
        <w:rPr>
          <w:sz w:val="20"/>
          <w:vertAlign w:val="superscript"/>
        </w:rPr>
        <w:footnoteReference w:id="3"/>
      </w:r>
    </w:p>
    <w:p w14:paraId="7985D505" w14:textId="77777777" w:rsidR="001B17C8" w:rsidRPr="001B17C8" w:rsidRDefault="001B17C8" w:rsidP="001B17C8">
      <w:pPr>
        <w:spacing w:after="240" w:line="276" w:lineRule="auto"/>
        <w:jc w:val="both"/>
        <w:rPr>
          <w:sz w:val="20"/>
        </w:rPr>
      </w:pPr>
      <w:r w:rsidRPr="001B17C8">
        <w:rPr>
          <w:sz w:val="20"/>
        </w:rPr>
        <w:t xml:space="preserve">The limited market activity has reflected on the EONIA rate as an increase in the concentration of underpinning volumes in a limited number of EONIA Panel Banks. At the same time, the number of Panel Banks which submit non-zero volumes has decreased significantly over the past few years. This trend may reflect the contraction of the unsecured money markets, also captured and portrayed more recently in the </w:t>
      </w:r>
      <w:hyperlink r:id="rId15" w:history="1">
        <w:r w:rsidRPr="001B17C8">
          <w:rPr>
            <w:rStyle w:val="Hyperlink"/>
            <w:rFonts w:ascii="Calibri" w:hAnsi="Calibri"/>
            <w:sz w:val="20"/>
          </w:rPr>
          <w:t>First ECB public consultation on developing a euro unsecured overnight interest rate</w:t>
        </w:r>
      </w:hyperlink>
      <w:r w:rsidRPr="001B17C8">
        <w:rPr>
          <w:sz w:val="20"/>
          <w:u w:val="single"/>
        </w:rPr>
        <w:t>.</w:t>
      </w:r>
    </w:p>
    <w:p w14:paraId="1E4A2AB0" w14:textId="77777777" w:rsidR="001B17C8" w:rsidRPr="001B17C8" w:rsidRDefault="001B17C8" w:rsidP="000B181A">
      <w:pPr>
        <w:spacing w:after="120" w:line="276" w:lineRule="auto"/>
        <w:jc w:val="both"/>
        <w:rPr>
          <w:color w:val="11689B"/>
          <w:sz w:val="20"/>
        </w:rPr>
      </w:pPr>
      <w:r w:rsidRPr="001B17C8">
        <w:rPr>
          <w:color w:val="11689B"/>
          <w:sz w:val="20"/>
        </w:rPr>
        <w:t>The working group on euro risk-free rates</w:t>
      </w:r>
    </w:p>
    <w:p w14:paraId="1E545DCF" w14:textId="77777777" w:rsidR="001B17C8" w:rsidRPr="001B17C8" w:rsidRDefault="001B17C8" w:rsidP="001B17C8">
      <w:pPr>
        <w:spacing w:after="240" w:line="276" w:lineRule="auto"/>
        <w:jc w:val="both"/>
        <w:rPr>
          <w:sz w:val="20"/>
        </w:rPr>
      </w:pPr>
      <w:r w:rsidRPr="001B17C8">
        <w:rPr>
          <w:sz w:val="20"/>
        </w:rPr>
        <w:t>On 21 September 2017 the European Central Bank (ECB), the Belgian Financial Services and Markets Authority (FSMA), the European Securities and Markets Authority (ESMA) and the European Commission announced the launch of the working group on euro risk-free rates (the Working Group or WG).</w:t>
      </w:r>
      <w:r w:rsidRPr="001B17C8">
        <w:rPr>
          <w:sz w:val="20"/>
          <w:vertAlign w:val="superscript"/>
        </w:rPr>
        <w:footnoteReference w:id="4"/>
      </w:r>
      <w:r w:rsidRPr="001B17C8">
        <w:rPr>
          <w:sz w:val="20"/>
        </w:rPr>
        <w:t xml:space="preserve"> On the same day, the ECB also </w:t>
      </w:r>
      <w:hyperlink r:id="rId16" w:history="1">
        <w:r w:rsidRPr="001B17C8">
          <w:rPr>
            <w:rStyle w:val="Hyperlink"/>
            <w:rFonts w:ascii="Calibri" w:hAnsi="Calibri"/>
            <w:sz w:val="20"/>
          </w:rPr>
          <w:t>announced</w:t>
        </w:r>
      </w:hyperlink>
      <w:r w:rsidRPr="001B17C8">
        <w:rPr>
          <w:sz w:val="20"/>
        </w:rPr>
        <w:t xml:space="preserve"> its intention to publish a new unsecured overnight interest rate based on data already available to the </w:t>
      </w:r>
      <w:proofErr w:type="spellStart"/>
      <w:r w:rsidRPr="001B17C8">
        <w:rPr>
          <w:sz w:val="20"/>
        </w:rPr>
        <w:t>Eurosystem</w:t>
      </w:r>
      <w:proofErr w:type="spellEnd"/>
      <w:r w:rsidRPr="001B17C8">
        <w:rPr>
          <w:sz w:val="20"/>
        </w:rPr>
        <w:t xml:space="preserve">, which later </w:t>
      </w:r>
      <w:proofErr w:type="spellStart"/>
      <w:r w:rsidRPr="001B17C8">
        <w:rPr>
          <w:sz w:val="20"/>
        </w:rPr>
        <w:t>materialised</w:t>
      </w:r>
      <w:proofErr w:type="spellEnd"/>
      <w:r w:rsidRPr="001B17C8">
        <w:rPr>
          <w:sz w:val="20"/>
        </w:rPr>
        <w:t xml:space="preserve"> as the euro short-term rate (€STR).</w:t>
      </w:r>
    </w:p>
    <w:p w14:paraId="259F86B2" w14:textId="77777777" w:rsidR="001B17C8" w:rsidRPr="001B17C8" w:rsidRDefault="001B17C8" w:rsidP="000B181A">
      <w:pPr>
        <w:spacing w:after="120" w:line="276" w:lineRule="auto"/>
        <w:jc w:val="both"/>
        <w:rPr>
          <w:color w:val="11689B"/>
          <w:sz w:val="20"/>
        </w:rPr>
      </w:pPr>
      <w:r w:rsidRPr="001B17C8">
        <w:rPr>
          <w:color w:val="11689B"/>
          <w:sz w:val="20"/>
        </w:rPr>
        <w:t>The end of the EONIA Review</w:t>
      </w:r>
    </w:p>
    <w:p w14:paraId="73FF32DA" w14:textId="77777777" w:rsidR="001B17C8" w:rsidRPr="001B17C8" w:rsidRDefault="001B17C8" w:rsidP="001B17C8">
      <w:pPr>
        <w:spacing w:after="240" w:line="276" w:lineRule="auto"/>
        <w:jc w:val="both"/>
        <w:rPr>
          <w:sz w:val="20"/>
        </w:rPr>
      </w:pPr>
      <w:r w:rsidRPr="001B17C8">
        <w:rPr>
          <w:sz w:val="20"/>
        </w:rPr>
        <w:t xml:space="preserve">On 1 February 2018, EMMI communicated on its intentions to stop efforts related to the alignment of </w:t>
      </w:r>
      <w:r w:rsidRPr="001B17C8">
        <w:rPr>
          <w:sz w:val="20"/>
        </w:rPr>
        <w:lastRenderedPageBreak/>
        <w:t>EONIA with the requirements of the EU BMR.</w:t>
      </w:r>
      <w:r w:rsidRPr="001B17C8">
        <w:rPr>
          <w:sz w:val="20"/>
          <w:vertAlign w:val="superscript"/>
        </w:rPr>
        <w:footnoteReference w:id="5"/>
      </w:r>
      <w:r w:rsidRPr="001B17C8">
        <w:rPr>
          <w:sz w:val="20"/>
        </w:rPr>
        <w:t xml:space="preserve"> This decision was made on the basis of discussions with EONIA Panel Banks and other stakeholders, reflecting a non-existent support and appetite for a fully-fledged EONIA Review. At that time, EMMI highlighted how under unchanged conditions and dynamics in the unsecured segment of the euro money market “EONIA’s compliance with the EU BMR by January 2020 could not be warranted.”</w:t>
      </w:r>
    </w:p>
    <w:p w14:paraId="204ECD62" w14:textId="77777777" w:rsidR="001B17C8" w:rsidRPr="001B17C8" w:rsidRDefault="001B17C8" w:rsidP="000B181A">
      <w:pPr>
        <w:spacing w:after="120" w:line="276" w:lineRule="auto"/>
        <w:jc w:val="both"/>
        <w:rPr>
          <w:color w:val="11689B"/>
          <w:sz w:val="20"/>
        </w:rPr>
      </w:pPr>
      <w:r w:rsidRPr="001B17C8">
        <w:rPr>
          <w:color w:val="11689B"/>
          <w:sz w:val="20"/>
        </w:rPr>
        <w:t>Recommendations of the Working Group on euro risk-free rates</w:t>
      </w:r>
    </w:p>
    <w:p w14:paraId="0A29E991" w14:textId="77777777" w:rsidR="001B17C8" w:rsidRPr="001B17C8" w:rsidRDefault="001B17C8" w:rsidP="001B17C8">
      <w:pPr>
        <w:spacing w:after="240" w:line="276" w:lineRule="auto"/>
        <w:jc w:val="both"/>
        <w:rPr>
          <w:sz w:val="20"/>
        </w:rPr>
      </w:pPr>
      <w:r w:rsidRPr="001B17C8">
        <w:rPr>
          <w:sz w:val="20"/>
        </w:rPr>
        <w:t xml:space="preserve">Following the </w:t>
      </w:r>
      <w:hyperlink r:id="rId17" w:history="1">
        <w:r w:rsidRPr="001B17C8">
          <w:rPr>
            <w:rStyle w:val="Hyperlink"/>
            <w:rFonts w:ascii="Calibri" w:hAnsi="Calibri"/>
            <w:sz w:val="20"/>
          </w:rPr>
          <w:t>recommendation of the Working Group of the ECB’s €STR</w:t>
        </w:r>
      </w:hyperlink>
      <w:r w:rsidRPr="001B17C8">
        <w:rPr>
          <w:sz w:val="20"/>
        </w:rPr>
        <w:t xml:space="preserve"> as the alternative euro risk-free rate (RFR) on 13 September 2018, the Working Group continued exploring possible approaches to ensure a smooth transition from EONIA to the €STR. In December 2018, the Working Group published a </w:t>
      </w:r>
      <w:hyperlink r:id="rId18" w:history="1">
        <w:r w:rsidRPr="001B17C8">
          <w:rPr>
            <w:rStyle w:val="Hyperlink"/>
            <w:rFonts w:ascii="Calibri" w:hAnsi="Calibri"/>
            <w:sz w:val="20"/>
          </w:rPr>
          <w:t>report on the transition from EONIA to the €STR</w:t>
        </w:r>
      </w:hyperlink>
      <w:r w:rsidRPr="001B17C8">
        <w:rPr>
          <w:sz w:val="20"/>
        </w:rPr>
        <w:t xml:space="preserve"> (the Report), in which a number of transition scenarios, proposals, and recommendations to promote and facilitate this transition were laid out.</w:t>
      </w:r>
    </w:p>
    <w:p w14:paraId="04F225AA" w14:textId="77777777" w:rsidR="001B17C8" w:rsidRPr="001B17C8" w:rsidRDefault="001B17C8" w:rsidP="001B17C8">
      <w:pPr>
        <w:spacing w:after="240" w:line="276" w:lineRule="auto"/>
        <w:jc w:val="both"/>
        <w:rPr>
          <w:sz w:val="20"/>
        </w:rPr>
      </w:pPr>
      <w:r w:rsidRPr="001B17C8">
        <w:rPr>
          <w:sz w:val="20"/>
        </w:rPr>
        <w:t xml:space="preserve">Some of the recommendations presented in the Report were addressed to EMMI. Given the systemic importance of EONIA for the financial markets, also </w:t>
      </w:r>
      <w:proofErr w:type="spellStart"/>
      <w:r w:rsidRPr="001B17C8">
        <w:rPr>
          <w:sz w:val="20"/>
        </w:rPr>
        <w:t>recognised</w:t>
      </w:r>
      <w:proofErr w:type="spellEnd"/>
      <w:r w:rsidRPr="001B17C8">
        <w:rPr>
          <w:sz w:val="20"/>
        </w:rPr>
        <w:t xml:space="preserve"> by the European Commission in June 2017, when EONIA was classified as a critical benchmark under the EU BMR, EMMI would like to consult the public on the measures proposed and </w:t>
      </w:r>
      <w:hyperlink r:id="rId19" w:history="1">
        <w:r w:rsidRPr="001B17C8">
          <w:rPr>
            <w:rStyle w:val="Hyperlink"/>
            <w:rFonts w:ascii="Calibri" w:hAnsi="Calibri"/>
            <w:sz w:val="20"/>
          </w:rPr>
          <w:t>endorsed by the Working Group during its meeting on 14 March 2019</w:t>
        </w:r>
      </w:hyperlink>
      <w:r w:rsidRPr="001B17C8">
        <w:rPr>
          <w:sz w:val="20"/>
        </w:rPr>
        <w:t>.</w:t>
      </w:r>
    </w:p>
    <w:p w14:paraId="4F85A9A1" w14:textId="0B13E8B8" w:rsidR="00737449" w:rsidRDefault="001B17C8" w:rsidP="001B17C8">
      <w:pPr>
        <w:spacing w:after="240" w:line="276" w:lineRule="auto"/>
        <w:jc w:val="both"/>
        <w:rPr>
          <w:sz w:val="20"/>
        </w:rPr>
        <w:sectPr w:rsidR="00737449" w:rsidSect="00737449">
          <w:type w:val="continuous"/>
          <w:pgSz w:w="11906" w:h="16838" w:code="9"/>
          <w:pgMar w:top="2268" w:right="1133" w:bottom="1276" w:left="1418" w:header="709" w:footer="788" w:gutter="0"/>
          <w:pgNumType w:start="1"/>
          <w:cols w:num="2" w:space="708"/>
          <w:titlePg/>
          <w:docGrid w:linePitch="360"/>
        </w:sectPr>
      </w:pPr>
      <w:r w:rsidRPr="001B17C8">
        <w:rPr>
          <w:sz w:val="20"/>
        </w:rPr>
        <w:t xml:space="preserve">Due to the dependencies between the recalibration of EONIA’s methodology and the ECB’s production plans for the €STR, which stem from the recommendations of the Working Group, the market and other users of EONIA will have to adapt to a change in the publication time of EONIA in a short timeframe. By conducting this </w:t>
      </w:r>
      <w:hyperlink r:id="rId20" w:history="1">
        <w:r w:rsidRPr="00737449">
          <w:rPr>
            <w:rStyle w:val="Hyperlink"/>
            <w:rFonts w:ascii="Calibri" w:hAnsi="Calibri"/>
            <w:sz w:val="20"/>
          </w:rPr>
          <w:t>consultation</w:t>
        </w:r>
      </w:hyperlink>
      <w:r w:rsidRPr="001B17C8">
        <w:rPr>
          <w:sz w:val="20"/>
        </w:rPr>
        <w:t>, EMMI intends to raise awareness of the implications of the suggested changes, and ensure that users of EONIA start preparing for the potential upcoming changes as soon as possible.</w:t>
      </w:r>
    </w:p>
    <w:p w14:paraId="073E8AE6" w14:textId="77777777" w:rsidR="00737449" w:rsidRDefault="00737449" w:rsidP="001B17C8">
      <w:pPr>
        <w:spacing w:after="240" w:line="276" w:lineRule="auto"/>
        <w:jc w:val="both"/>
        <w:rPr>
          <w:sz w:val="20"/>
        </w:rPr>
        <w:sectPr w:rsidR="00737449" w:rsidSect="004D2C38">
          <w:type w:val="continuous"/>
          <w:pgSz w:w="11906" w:h="16838" w:code="9"/>
          <w:pgMar w:top="2268" w:right="1133" w:bottom="1276" w:left="1418" w:header="709" w:footer="788" w:gutter="0"/>
          <w:pgNumType w:start="1"/>
          <w:cols w:space="708"/>
          <w:titlePg/>
          <w:docGrid w:linePitch="360"/>
        </w:sectPr>
      </w:pPr>
    </w:p>
    <w:p w14:paraId="6F6FA3A9" w14:textId="77777777" w:rsidR="000B181A" w:rsidRDefault="000B181A">
      <w:pPr>
        <w:rPr>
          <w:b/>
          <w:color w:val="11689B"/>
          <w:sz w:val="20"/>
        </w:rPr>
      </w:pPr>
      <w:r>
        <w:rPr>
          <w:b/>
          <w:color w:val="11689B"/>
          <w:sz w:val="20"/>
        </w:rPr>
        <w:br w:type="page"/>
      </w:r>
    </w:p>
    <w:p w14:paraId="545A21EA" w14:textId="7DA2F3CB" w:rsidR="000B181A" w:rsidRPr="000B181A" w:rsidRDefault="000B181A" w:rsidP="000B181A">
      <w:pPr>
        <w:spacing w:after="120" w:line="276" w:lineRule="auto"/>
        <w:jc w:val="both"/>
        <w:rPr>
          <w:b/>
          <w:color w:val="11689B"/>
          <w:sz w:val="20"/>
        </w:rPr>
      </w:pPr>
      <w:r w:rsidRPr="000B181A">
        <w:rPr>
          <w:b/>
          <w:color w:val="11689B"/>
          <w:sz w:val="20"/>
        </w:rPr>
        <w:lastRenderedPageBreak/>
        <w:t>How to respond to this consultation?</w:t>
      </w:r>
    </w:p>
    <w:p w14:paraId="63128C7D" w14:textId="77777777" w:rsidR="001B17C8" w:rsidRPr="001B17C8" w:rsidRDefault="001B17C8" w:rsidP="001B17C8">
      <w:pPr>
        <w:spacing w:after="240" w:line="276" w:lineRule="auto"/>
        <w:jc w:val="both"/>
        <w:rPr>
          <w:sz w:val="20"/>
        </w:rPr>
      </w:pPr>
      <w:r w:rsidRPr="001B17C8">
        <w:rPr>
          <w:sz w:val="20"/>
        </w:rPr>
        <w:t xml:space="preserve">Responses to the questions included at the end of the consultation and feedback on the overall approach should be sent to </w:t>
      </w:r>
      <w:hyperlink r:id="rId21" w:history="1">
        <w:r w:rsidRPr="001B17C8">
          <w:rPr>
            <w:rStyle w:val="Hyperlink"/>
            <w:rFonts w:ascii="Calibri" w:hAnsi="Calibri"/>
            <w:sz w:val="20"/>
          </w:rPr>
          <w:t>eonia2019@emmi-benchmarks.eu</w:t>
        </w:r>
      </w:hyperlink>
      <w:r w:rsidRPr="001B17C8">
        <w:rPr>
          <w:sz w:val="20"/>
        </w:rPr>
        <w:t xml:space="preserve">. </w:t>
      </w:r>
      <w:r w:rsidRPr="001B17C8">
        <w:rPr>
          <w:b/>
          <w:sz w:val="20"/>
        </w:rPr>
        <w:t>The consultation period closes on Monday, 15 April 2019 at 5:00 p.m. CET.</w:t>
      </w:r>
    </w:p>
    <w:p w14:paraId="59A47572" w14:textId="52FBBA85" w:rsidR="001B17C8" w:rsidRDefault="001B17C8" w:rsidP="001B17C8">
      <w:pPr>
        <w:spacing w:after="240" w:line="276" w:lineRule="auto"/>
        <w:jc w:val="both"/>
        <w:rPr>
          <w:sz w:val="20"/>
        </w:rPr>
      </w:pPr>
      <w:r w:rsidRPr="001B17C8">
        <w:rPr>
          <w:sz w:val="20"/>
        </w:rPr>
        <w:t xml:space="preserve">EMMI will evaluate all responses and prepare an </w:t>
      </w:r>
      <w:proofErr w:type="spellStart"/>
      <w:r w:rsidRPr="001B17C8">
        <w:rPr>
          <w:sz w:val="20"/>
        </w:rPr>
        <w:t>anonymised</w:t>
      </w:r>
      <w:proofErr w:type="spellEnd"/>
      <w:r w:rsidRPr="001B17C8">
        <w:rPr>
          <w:sz w:val="20"/>
        </w:rPr>
        <w:t xml:space="preserve"> feedback summary. </w:t>
      </w:r>
      <w:r w:rsidRPr="001B17C8">
        <w:rPr>
          <w:b/>
          <w:sz w:val="20"/>
        </w:rPr>
        <w:t xml:space="preserve">This summary will be published on EMMI’s website on </w:t>
      </w:r>
      <w:r w:rsidR="006335A5">
        <w:rPr>
          <w:b/>
          <w:sz w:val="20"/>
        </w:rPr>
        <w:t>Friday</w:t>
      </w:r>
      <w:r w:rsidRPr="001B17C8">
        <w:rPr>
          <w:b/>
          <w:sz w:val="20"/>
        </w:rPr>
        <w:t>, 3</w:t>
      </w:r>
      <w:r w:rsidR="006335A5">
        <w:rPr>
          <w:b/>
          <w:sz w:val="20"/>
        </w:rPr>
        <w:t>1</w:t>
      </w:r>
      <w:r w:rsidRPr="001B17C8">
        <w:rPr>
          <w:b/>
          <w:sz w:val="20"/>
        </w:rPr>
        <w:t xml:space="preserve"> May 2019.</w:t>
      </w:r>
      <w:r w:rsidRPr="001B17C8">
        <w:rPr>
          <w:sz w:val="20"/>
        </w:rPr>
        <w:t xml:space="preserve"> Final details on the implementation plan will also be announced on that date.</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57" w:type="dxa"/>
          <w:left w:w="115" w:type="dxa"/>
          <w:bottom w:w="57" w:type="dxa"/>
          <w:right w:w="115" w:type="dxa"/>
        </w:tblCellMar>
        <w:tblLook w:val="04A0" w:firstRow="1" w:lastRow="0" w:firstColumn="1" w:lastColumn="0" w:noHBand="0" w:noVBand="1"/>
      </w:tblPr>
      <w:tblGrid>
        <w:gridCol w:w="9351"/>
      </w:tblGrid>
      <w:tr w:rsidR="006335A5" w:rsidRPr="006335A5" w14:paraId="7AD719F8" w14:textId="77777777" w:rsidTr="006335A5">
        <w:tc>
          <w:tcPr>
            <w:tcW w:w="9351" w:type="dxa"/>
            <w:tcBorders>
              <w:top w:val="dashSmallGap" w:sz="4" w:space="0" w:color="A6A6A6" w:themeColor="background1" w:themeShade="A6"/>
              <w:left w:val="dashSmallGap" w:sz="4" w:space="0" w:color="A6A6A6" w:themeColor="background1" w:themeShade="A6"/>
              <w:bottom w:val="dashSmallGap" w:sz="4" w:space="0" w:color="A6A6A6" w:themeColor="background1" w:themeShade="A6"/>
              <w:right w:val="dashSmallGap" w:sz="4" w:space="0" w:color="A6A6A6" w:themeColor="background1" w:themeShade="A6"/>
            </w:tcBorders>
            <w:shd w:val="clear" w:color="auto" w:fill="F2F2F2" w:themeFill="background1" w:themeFillShade="F2"/>
          </w:tcPr>
          <w:p w14:paraId="218AC41C" w14:textId="77777777" w:rsidR="006335A5" w:rsidRPr="006335A5" w:rsidRDefault="006335A5" w:rsidP="003C5780">
            <w:pPr>
              <w:pStyle w:val="name0"/>
              <w:spacing w:before="0" w:after="120"/>
              <w:ind w:left="91"/>
              <w:rPr>
                <w:rFonts w:ascii="Calibri" w:hAnsi="Calibri"/>
                <w:b w:val="0"/>
              </w:rPr>
            </w:pPr>
            <w:r w:rsidRPr="006335A5">
              <w:rPr>
                <w:rFonts w:ascii="Calibri" w:hAnsi="Calibri"/>
                <w:b w:val="0"/>
                <w:i/>
              </w:rPr>
              <w:t>Erratum:</w:t>
            </w:r>
            <w:r w:rsidRPr="006335A5">
              <w:rPr>
                <w:rFonts w:ascii="Calibri" w:hAnsi="Calibri"/>
                <w:b w:val="0"/>
              </w:rPr>
              <w:t xml:space="preserve"> A previous version of this Consultation indicated that the publication of the feedback summary would take place on 30 May 2019. </w:t>
            </w:r>
          </w:p>
          <w:p w14:paraId="639233B9" w14:textId="77777777" w:rsidR="006335A5" w:rsidRPr="006335A5" w:rsidRDefault="006335A5" w:rsidP="003C5780">
            <w:pPr>
              <w:pStyle w:val="name0"/>
              <w:spacing w:before="0" w:after="120"/>
              <w:ind w:left="91"/>
              <w:rPr>
                <w:rFonts w:ascii="Calibri" w:hAnsi="Calibri"/>
                <w:b w:val="0"/>
              </w:rPr>
            </w:pPr>
            <w:r w:rsidRPr="006335A5">
              <w:rPr>
                <w:rFonts w:ascii="Calibri" w:hAnsi="Calibri"/>
                <w:b w:val="0"/>
              </w:rPr>
              <w:t xml:space="preserve">Due to the observation of Ascension as a public holiday in some countries in Europe, the feedback summary and details on the implementation plan of the recalibration will be published on </w:t>
            </w:r>
            <w:r w:rsidRPr="006335A5">
              <w:rPr>
                <w:rFonts w:ascii="Calibri" w:hAnsi="Calibri"/>
              </w:rPr>
              <w:t>31 May 2019</w:t>
            </w:r>
            <w:r w:rsidRPr="006335A5">
              <w:rPr>
                <w:rFonts w:ascii="Calibri" w:hAnsi="Calibri"/>
                <w:b w:val="0"/>
              </w:rPr>
              <w:t>.</w:t>
            </w:r>
          </w:p>
        </w:tc>
      </w:tr>
    </w:tbl>
    <w:p w14:paraId="1E2F5B82" w14:textId="77777777" w:rsidR="006335A5" w:rsidRPr="001B17C8" w:rsidRDefault="006335A5" w:rsidP="001B17C8">
      <w:pPr>
        <w:spacing w:after="240" w:line="276" w:lineRule="auto"/>
        <w:jc w:val="both"/>
        <w:rPr>
          <w:sz w:val="20"/>
        </w:rPr>
      </w:pPr>
    </w:p>
    <w:p w14:paraId="395D7743" w14:textId="0DEFE915" w:rsidR="00A304C2" w:rsidRDefault="00A304C2" w:rsidP="00125304">
      <w:pPr>
        <w:spacing w:after="240" w:line="276" w:lineRule="auto"/>
        <w:jc w:val="both"/>
        <w:rPr>
          <w:sz w:val="20"/>
        </w:rPr>
      </w:pPr>
      <w:r>
        <w:rPr>
          <w:sz w:val="20"/>
        </w:rPr>
        <w:t xml:space="preserve">Together with their responses, EMMI kindly asks respondents to submit the following minimum information: </w:t>
      </w: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2620"/>
        <w:gridCol w:w="6725"/>
      </w:tblGrid>
      <w:tr w:rsidR="00125304" w14:paraId="30F7AA94" w14:textId="77777777" w:rsidTr="004D2F83">
        <w:trPr>
          <w:trHeight w:val="188"/>
        </w:trPr>
        <w:tc>
          <w:tcPr>
            <w:tcW w:w="2620" w:type="dxa"/>
            <w:shd w:val="clear" w:color="auto" w:fill="F2F2F2" w:themeFill="background1" w:themeFillShade="F2"/>
          </w:tcPr>
          <w:p w14:paraId="4A8A3738" w14:textId="07B10B35" w:rsidR="00125304" w:rsidRPr="009A1690" w:rsidRDefault="00125304" w:rsidP="00125304">
            <w:pPr>
              <w:spacing w:line="276" w:lineRule="auto"/>
              <w:jc w:val="both"/>
              <w:rPr>
                <w:b/>
                <w:sz w:val="20"/>
              </w:rPr>
            </w:pPr>
            <w:r w:rsidRPr="009A1690">
              <w:rPr>
                <w:b/>
                <w:sz w:val="20"/>
              </w:rPr>
              <w:t>Full name of respondent:</w:t>
            </w:r>
          </w:p>
        </w:tc>
        <w:tc>
          <w:tcPr>
            <w:tcW w:w="6725" w:type="dxa"/>
          </w:tcPr>
          <w:p w14:paraId="33752ACC" w14:textId="77777777" w:rsidR="00125304" w:rsidRDefault="00125304" w:rsidP="00125304">
            <w:pPr>
              <w:spacing w:line="276" w:lineRule="auto"/>
              <w:jc w:val="both"/>
              <w:rPr>
                <w:sz w:val="20"/>
              </w:rPr>
            </w:pPr>
          </w:p>
        </w:tc>
      </w:tr>
      <w:tr w:rsidR="00125304" w14:paraId="79C86038" w14:textId="77777777" w:rsidTr="004D2F83">
        <w:tc>
          <w:tcPr>
            <w:tcW w:w="2620" w:type="dxa"/>
            <w:shd w:val="clear" w:color="auto" w:fill="F2F2F2" w:themeFill="background1" w:themeFillShade="F2"/>
          </w:tcPr>
          <w:p w14:paraId="2857BAC5" w14:textId="5D31C1A5" w:rsidR="00125304" w:rsidRPr="009A1690" w:rsidRDefault="00125304" w:rsidP="00125304">
            <w:pPr>
              <w:spacing w:line="276" w:lineRule="auto"/>
              <w:jc w:val="both"/>
              <w:rPr>
                <w:b/>
                <w:sz w:val="20"/>
              </w:rPr>
            </w:pPr>
            <w:r w:rsidRPr="009A1690">
              <w:rPr>
                <w:b/>
                <w:sz w:val="20"/>
              </w:rPr>
              <w:t>Position:</w:t>
            </w:r>
          </w:p>
        </w:tc>
        <w:tc>
          <w:tcPr>
            <w:tcW w:w="6725" w:type="dxa"/>
          </w:tcPr>
          <w:p w14:paraId="48A4EA96" w14:textId="77777777" w:rsidR="00125304" w:rsidRDefault="00125304" w:rsidP="00125304">
            <w:pPr>
              <w:spacing w:line="276" w:lineRule="auto"/>
              <w:jc w:val="both"/>
              <w:rPr>
                <w:sz w:val="20"/>
              </w:rPr>
            </w:pPr>
          </w:p>
        </w:tc>
      </w:tr>
      <w:tr w:rsidR="00125304" w14:paraId="11F76DC5" w14:textId="77777777" w:rsidTr="004D2F83">
        <w:tc>
          <w:tcPr>
            <w:tcW w:w="2620" w:type="dxa"/>
            <w:shd w:val="clear" w:color="auto" w:fill="F2F2F2" w:themeFill="background1" w:themeFillShade="F2"/>
          </w:tcPr>
          <w:p w14:paraId="17203B7C" w14:textId="3C829A2F" w:rsidR="00125304" w:rsidRPr="009A1690" w:rsidRDefault="00125304" w:rsidP="00125304">
            <w:pPr>
              <w:spacing w:line="276" w:lineRule="auto"/>
              <w:jc w:val="both"/>
              <w:rPr>
                <w:b/>
                <w:sz w:val="20"/>
              </w:rPr>
            </w:pPr>
            <w:r w:rsidRPr="009A1690">
              <w:rPr>
                <w:b/>
                <w:sz w:val="20"/>
              </w:rPr>
              <w:t>Organization and country:</w:t>
            </w:r>
          </w:p>
        </w:tc>
        <w:tc>
          <w:tcPr>
            <w:tcW w:w="6725" w:type="dxa"/>
          </w:tcPr>
          <w:p w14:paraId="4A96B054" w14:textId="77777777" w:rsidR="00125304" w:rsidRDefault="00125304" w:rsidP="00125304">
            <w:pPr>
              <w:spacing w:line="276" w:lineRule="auto"/>
              <w:jc w:val="both"/>
              <w:rPr>
                <w:sz w:val="20"/>
              </w:rPr>
            </w:pPr>
          </w:p>
        </w:tc>
      </w:tr>
      <w:tr w:rsidR="00125304" w14:paraId="70A649AC" w14:textId="77777777" w:rsidTr="004D2F83">
        <w:tc>
          <w:tcPr>
            <w:tcW w:w="2620" w:type="dxa"/>
            <w:shd w:val="clear" w:color="auto" w:fill="F2F2F2" w:themeFill="background1" w:themeFillShade="F2"/>
          </w:tcPr>
          <w:p w14:paraId="5C3ADD94" w14:textId="31DD19F8" w:rsidR="00125304" w:rsidRPr="009A1690" w:rsidRDefault="00125304" w:rsidP="00125304">
            <w:pPr>
              <w:spacing w:line="276" w:lineRule="auto"/>
              <w:jc w:val="both"/>
              <w:rPr>
                <w:b/>
                <w:sz w:val="20"/>
              </w:rPr>
            </w:pPr>
            <w:r w:rsidRPr="009A1690">
              <w:rPr>
                <w:b/>
                <w:sz w:val="20"/>
              </w:rPr>
              <w:t>E-mail address</w:t>
            </w:r>
          </w:p>
        </w:tc>
        <w:tc>
          <w:tcPr>
            <w:tcW w:w="6725" w:type="dxa"/>
          </w:tcPr>
          <w:p w14:paraId="59536DC0" w14:textId="77777777" w:rsidR="00125304" w:rsidRDefault="00125304" w:rsidP="00125304">
            <w:pPr>
              <w:spacing w:line="276" w:lineRule="auto"/>
              <w:jc w:val="both"/>
              <w:rPr>
                <w:sz w:val="20"/>
              </w:rPr>
            </w:pPr>
          </w:p>
        </w:tc>
      </w:tr>
      <w:tr w:rsidR="00125304" w14:paraId="0E147C86" w14:textId="77777777" w:rsidTr="004D2F83">
        <w:tc>
          <w:tcPr>
            <w:tcW w:w="2620" w:type="dxa"/>
            <w:shd w:val="clear" w:color="auto" w:fill="F2F2F2" w:themeFill="background1" w:themeFillShade="F2"/>
          </w:tcPr>
          <w:p w14:paraId="36652D0B" w14:textId="4F5B3FC4" w:rsidR="00125304" w:rsidRPr="009A1690" w:rsidRDefault="00125304" w:rsidP="00125304">
            <w:pPr>
              <w:spacing w:line="276" w:lineRule="auto"/>
              <w:jc w:val="both"/>
              <w:rPr>
                <w:b/>
                <w:sz w:val="20"/>
              </w:rPr>
            </w:pPr>
            <w:r w:rsidRPr="009A1690">
              <w:rPr>
                <w:b/>
                <w:sz w:val="20"/>
              </w:rPr>
              <w:t>Contact telephone:</w:t>
            </w:r>
          </w:p>
        </w:tc>
        <w:tc>
          <w:tcPr>
            <w:tcW w:w="6725" w:type="dxa"/>
          </w:tcPr>
          <w:p w14:paraId="627DC5A7" w14:textId="77777777" w:rsidR="00125304" w:rsidRDefault="00125304" w:rsidP="00125304">
            <w:pPr>
              <w:spacing w:line="276" w:lineRule="auto"/>
              <w:jc w:val="both"/>
              <w:rPr>
                <w:sz w:val="20"/>
              </w:rPr>
            </w:pPr>
          </w:p>
        </w:tc>
      </w:tr>
      <w:tr w:rsidR="00AD7AE1" w14:paraId="0E41B07A" w14:textId="77777777" w:rsidTr="004D2F83">
        <w:tc>
          <w:tcPr>
            <w:tcW w:w="2620" w:type="dxa"/>
            <w:shd w:val="clear" w:color="auto" w:fill="F2F2F2" w:themeFill="background1" w:themeFillShade="F2"/>
          </w:tcPr>
          <w:p w14:paraId="770BF4D8" w14:textId="0F104185" w:rsidR="00AD7AE1" w:rsidRPr="009A1690" w:rsidRDefault="00AD7AE1" w:rsidP="00125304">
            <w:pPr>
              <w:spacing w:line="276" w:lineRule="auto"/>
              <w:jc w:val="both"/>
              <w:rPr>
                <w:b/>
                <w:sz w:val="20"/>
              </w:rPr>
            </w:pPr>
            <w:r>
              <w:rPr>
                <w:b/>
                <w:sz w:val="20"/>
              </w:rPr>
              <w:t>Do you require anonymity?</w:t>
            </w:r>
            <w:r>
              <w:rPr>
                <w:rStyle w:val="FootnoteReference"/>
                <w:b/>
                <w:sz w:val="20"/>
              </w:rPr>
              <w:footnoteReference w:id="6"/>
            </w:r>
          </w:p>
        </w:tc>
        <w:tc>
          <w:tcPr>
            <w:tcW w:w="6725" w:type="dxa"/>
          </w:tcPr>
          <w:p w14:paraId="20BD03A6" w14:textId="77777777" w:rsidR="00AD7AE1" w:rsidRDefault="00AD7AE1" w:rsidP="00125304">
            <w:pPr>
              <w:spacing w:line="276" w:lineRule="auto"/>
              <w:jc w:val="both"/>
              <w:rPr>
                <w:sz w:val="20"/>
              </w:rPr>
            </w:pPr>
          </w:p>
        </w:tc>
      </w:tr>
    </w:tbl>
    <w:p w14:paraId="58A94EA7" w14:textId="0861A0EC" w:rsidR="00AD7AE1" w:rsidRDefault="00AD7AE1" w:rsidP="00125304">
      <w:pPr>
        <w:spacing w:after="240" w:line="276" w:lineRule="auto"/>
        <w:jc w:val="both"/>
        <w:rPr>
          <w:b/>
          <w:sz w:val="20"/>
        </w:rPr>
      </w:pPr>
    </w:p>
    <w:tbl>
      <w:tblPr>
        <w:tblStyle w:val="TableGrid"/>
        <w:tblW w:w="937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13" w:type="dxa"/>
          <w:bottom w:w="113" w:type="dxa"/>
        </w:tblCellMar>
        <w:tblLook w:val="04A0" w:firstRow="1" w:lastRow="0" w:firstColumn="1" w:lastColumn="0" w:noHBand="0" w:noVBand="1"/>
      </w:tblPr>
      <w:tblGrid>
        <w:gridCol w:w="807"/>
        <w:gridCol w:w="8568"/>
      </w:tblGrid>
      <w:tr w:rsidR="00125304" w:rsidRPr="00AD7AE1" w14:paraId="485798F8" w14:textId="77777777" w:rsidTr="004D2F83">
        <w:tc>
          <w:tcPr>
            <w:tcW w:w="807" w:type="dxa"/>
            <w:tcBorders>
              <w:bottom w:val="single" w:sz="4" w:space="0" w:color="auto"/>
            </w:tcBorders>
            <w:shd w:val="clear" w:color="auto" w:fill="F2F2F2" w:themeFill="background1" w:themeFillShade="F2"/>
            <w:vAlign w:val="center"/>
          </w:tcPr>
          <w:p w14:paraId="52B1C2F4" w14:textId="77777777" w:rsidR="00125304" w:rsidRPr="00737449" w:rsidRDefault="00125304" w:rsidP="00294B1E">
            <w:pPr>
              <w:spacing w:line="276" w:lineRule="auto"/>
              <w:jc w:val="center"/>
              <w:rPr>
                <w:b/>
                <w:color w:val="11689B"/>
                <w:sz w:val="20"/>
              </w:rPr>
            </w:pPr>
            <w:r w:rsidRPr="00737449">
              <w:rPr>
                <w:b/>
                <w:color w:val="11689B"/>
                <w:sz w:val="20"/>
              </w:rPr>
              <w:t>Q1</w:t>
            </w:r>
          </w:p>
          <w:p w14:paraId="453FC343" w14:textId="18D9E05F" w:rsidR="00F72D43" w:rsidRPr="004D2F83" w:rsidRDefault="00F72D43" w:rsidP="00737449">
            <w:pPr>
              <w:spacing w:line="276" w:lineRule="auto"/>
              <w:jc w:val="center"/>
              <w:rPr>
                <w:sz w:val="20"/>
              </w:rPr>
            </w:pPr>
            <w:r w:rsidRPr="004D2F83">
              <w:rPr>
                <w:sz w:val="20"/>
              </w:rPr>
              <w:t xml:space="preserve">Page </w:t>
            </w:r>
            <w:r w:rsidR="00737449">
              <w:rPr>
                <w:sz w:val="20"/>
              </w:rPr>
              <w:t>5</w:t>
            </w:r>
          </w:p>
        </w:tc>
        <w:tc>
          <w:tcPr>
            <w:tcW w:w="8568" w:type="dxa"/>
            <w:tcBorders>
              <w:bottom w:val="single" w:sz="4" w:space="0" w:color="auto"/>
            </w:tcBorders>
            <w:shd w:val="clear" w:color="auto" w:fill="F2F2F2" w:themeFill="background1" w:themeFillShade="F2"/>
            <w:vAlign w:val="center"/>
          </w:tcPr>
          <w:p w14:paraId="3A32C25F" w14:textId="7C2CC6C7" w:rsidR="00125304" w:rsidRPr="004D2F83" w:rsidRDefault="00737449" w:rsidP="004D2F83">
            <w:pPr>
              <w:spacing w:line="276" w:lineRule="auto"/>
              <w:rPr>
                <w:color w:val="000000" w:themeColor="text1"/>
                <w:sz w:val="20"/>
              </w:rPr>
            </w:pPr>
            <w:r>
              <w:rPr>
                <w:sz w:val="20"/>
                <w:lang w:val="en-GB"/>
              </w:rPr>
              <w:t xml:space="preserve">In view of the Working Group’s recommendation, do you agree that EMMI implements the recalibrated methodology for EONIA, whereby EONIA will be defined as the </w:t>
            </w:r>
            <w:r w:rsidRPr="00562B71">
              <w:rPr>
                <w:sz w:val="20"/>
              </w:rPr>
              <w:t>€STR</w:t>
            </w:r>
            <w:r>
              <w:rPr>
                <w:sz w:val="20"/>
                <w:lang w:val="en-GB"/>
              </w:rPr>
              <w:t xml:space="preserve"> plus a </w:t>
            </w:r>
            <w:r>
              <w:rPr>
                <w:i/>
                <w:sz w:val="20"/>
                <w:lang w:val="en-GB"/>
              </w:rPr>
              <w:t>spread</w:t>
            </w:r>
            <w:r>
              <w:rPr>
                <w:sz w:val="20"/>
                <w:lang w:val="en-GB"/>
              </w:rPr>
              <w:t>? If not, please provide a rationale for your answer.</w:t>
            </w:r>
          </w:p>
        </w:tc>
      </w:tr>
      <w:tr w:rsidR="00892628" w:rsidRPr="00AD7AE1" w14:paraId="4A56842E" w14:textId="77777777" w:rsidTr="004D2F83">
        <w:tc>
          <w:tcPr>
            <w:tcW w:w="93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9B6CC" w14:textId="798D50CC" w:rsidR="00892628" w:rsidRPr="00AD7AE1" w:rsidRDefault="00892628" w:rsidP="008D5830">
            <w:pPr>
              <w:spacing w:line="276" w:lineRule="auto"/>
              <w:rPr>
                <w:sz w:val="20"/>
              </w:rPr>
            </w:pPr>
            <w:r w:rsidRPr="00AD7AE1">
              <w:rPr>
                <w:sz w:val="20"/>
              </w:rPr>
              <w:t>[Answer here]</w:t>
            </w:r>
          </w:p>
        </w:tc>
      </w:tr>
    </w:tbl>
    <w:p w14:paraId="3D6C7F8A" w14:textId="77777777" w:rsidR="008A40DB" w:rsidRDefault="008A40DB"/>
    <w:tbl>
      <w:tblPr>
        <w:tblStyle w:val="TableGrid"/>
        <w:tblW w:w="937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13" w:type="dxa"/>
          <w:bottom w:w="113" w:type="dxa"/>
        </w:tblCellMar>
        <w:tblLook w:val="04A0" w:firstRow="1" w:lastRow="0" w:firstColumn="1" w:lastColumn="0" w:noHBand="0" w:noVBand="1"/>
      </w:tblPr>
      <w:tblGrid>
        <w:gridCol w:w="807"/>
        <w:gridCol w:w="8568"/>
      </w:tblGrid>
      <w:tr w:rsidR="00125304" w:rsidRPr="00AD7AE1" w14:paraId="71763285" w14:textId="77777777" w:rsidTr="004D2F83">
        <w:tc>
          <w:tcPr>
            <w:tcW w:w="807" w:type="dxa"/>
            <w:tcBorders>
              <w:bottom w:val="single" w:sz="4" w:space="0" w:color="auto"/>
            </w:tcBorders>
            <w:shd w:val="clear" w:color="auto" w:fill="F2F2F2" w:themeFill="background1" w:themeFillShade="F2"/>
            <w:vAlign w:val="center"/>
          </w:tcPr>
          <w:p w14:paraId="7BB75CE0" w14:textId="77777777" w:rsidR="00125304" w:rsidRPr="004D2F83" w:rsidRDefault="00125304" w:rsidP="00BC088A">
            <w:pPr>
              <w:spacing w:line="276" w:lineRule="auto"/>
              <w:jc w:val="center"/>
              <w:rPr>
                <w:sz w:val="20"/>
              </w:rPr>
            </w:pPr>
            <w:r w:rsidRPr="004D2F83">
              <w:rPr>
                <w:sz w:val="20"/>
              </w:rPr>
              <w:t>Q2</w:t>
            </w:r>
          </w:p>
          <w:p w14:paraId="39F86126" w14:textId="729AC85A" w:rsidR="00F72D43" w:rsidRPr="004D2F83" w:rsidRDefault="00F72D43" w:rsidP="00737449">
            <w:pPr>
              <w:spacing w:line="276" w:lineRule="auto"/>
              <w:jc w:val="center"/>
              <w:rPr>
                <w:sz w:val="20"/>
              </w:rPr>
            </w:pPr>
            <w:r w:rsidRPr="004D2F83">
              <w:rPr>
                <w:sz w:val="20"/>
              </w:rPr>
              <w:t>Page</w:t>
            </w:r>
            <w:r w:rsidR="00737449">
              <w:rPr>
                <w:sz w:val="20"/>
              </w:rPr>
              <w:t xml:space="preserve"> 6</w:t>
            </w:r>
          </w:p>
        </w:tc>
        <w:tc>
          <w:tcPr>
            <w:tcW w:w="8568" w:type="dxa"/>
            <w:tcBorders>
              <w:bottom w:val="single" w:sz="4" w:space="0" w:color="auto"/>
            </w:tcBorders>
            <w:shd w:val="clear" w:color="auto" w:fill="F2F2F2" w:themeFill="background1" w:themeFillShade="F2"/>
            <w:vAlign w:val="center"/>
          </w:tcPr>
          <w:p w14:paraId="08B3B6BD" w14:textId="0684E60E" w:rsidR="00125304" w:rsidRPr="004D2F83" w:rsidRDefault="00737449" w:rsidP="008D5830">
            <w:pPr>
              <w:rPr>
                <w:sz w:val="20"/>
              </w:rPr>
            </w:pPr>
            <w:r>
              <w:rPr>
                <w:sz w:val="20"/>
                <w:lang w:val="en-GB"/>
              </w:rPr>
              <w:t xml:space="preserve">Do you consider that the discontinuation of EONIA on 3 January 2022, allows for and promotes the orderly transition of the market away from EONIA to the </w:t>
            </w:r>
            <w:r w:rsidRPr="00562B71">
              <w:rPr>
                <w:sz w:val="20"/>
              </w:rPr>
              <w:t>€STR</w:t>
            </w:r>
            <w:r>
              <w:rPr>
                <w:sz w:val="20"/>
                <w:lang w:val="en-GB"/>
              </w:rPr>
              <w:t>? If not, please provide a rationale for your answer.</w:t>
            </w:r>
          </w:p>
        </w:tc>
      </w:tr>
      <w:tr w:rsidR="00892628" w:rsidRPr="00AD7AE1" w14:paraId="6C2FFF52" w14:textId="77777777" w:rsidTr="004D2F83">
        <w:tc>
          <w:tcPr>
            <w:tcW w:w="93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AEBAD" w14:textId="57F9DE02" w:rsidR="00892628" w:rsidRPr="00AD7AE1" w:rsidRDefault="00892628" w:rsidP="008D5830">
            <w:pPr>
              <w:rPr>
                <w:sz w:val="20"/>
              </w:rPr>
            </w:pPr>
            <w:r w:rsidRPr="00AD7AE1">
              <w:rPr>
                <w:sz w:val="20"/>
              </w:rPr>
              <w:t>[Answer here]</w:t>
            </w:r>
          </w:p>
        </w:tc>
      </w:tr>
    </w:tbl>
    <w:p w14:paraId="06659399" w14:textId="77777777" w:rsidR="008A40DB" w:rsidRPr="0046133E" w:rsidRDefault="008A40DB"/>
    <w:tbl>
      <w:tblPr>
        <w:tblStyle w:val="TableGrid"/>
        <w:tblW w:w="937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13" w:type="dxa"/>
          <w:bottom w:w="113" w:type="dxa"/>
        </w:tblCellMar>
        <w:tblLook w:val="04A0" w:firstRow="1" w:lastRow="0" w:firstColumn="1" w:lastColumn="0" w:noHBand="0" w:noVBand="1"/>
      </w:tblPr>
      <w:tblGrid>
        <w:gridCol w:w="807"/>
        <w:gridCol w:w="8568"/>
      </w:tblGrid>
      <w:tr w:rsidR="00125304" w:rsidRPr="00AD7AE1" w14:paraId="2D74888D" w14:textId="77777777" w:rsidTr="004D2F83">
        <w:tc>
          <w:tcPr>
            <w:tcW w:w="807" w:type="dxa"/>
            <w:tcBorders>
              <w:bottom w:val="single" w:sz="4" w:space="0" w:color="auto"/>
            </w:tcBorders>
            <w:shd w:val="clear" w:color="auto" w:fill="F2F2F2" w:themeFill="background1" w:themeFillShade="F2"/>
            <w:vAlign w:val="center"/>
          </w:tcPr>
          <w:p w14:paraId="716EC83D" w14:textId="58468D3E" w:rsidR="00125304" w:rsidRPr="004D2F83" w:rsidRDefault="00125304" w:rsidP="00294B1E">
            <w:pPr>
              <w:spacing w:line="276" w:lineRule="auto"/>
              <w:jc w:val="center"/>
              <w:rPr>
                <w:sz w:val="20"/>
              </w:rPr>
            </w:pPr>
            <w:r w:rsidRPr="004D2F83">
              <w:rPr>
                <w:sz w:val="20"/>
              </w:rPr>
              <w:lastRenderedPageBreak/>
              <w:t>Q3</w:t>
            </w:r>
            <w:r w:rsidR="00737449">
              <w:rPr>
                <w:sz w:val="20"/>
              </w:rPr>
              <w:t>a</w:t>
            </w:r>
          </w:p>
          <w:p w14:paraId="705FAB96" w14:textId="111EE929" w:rsidR="00F72D43" w:rsidRPr="004D2F83" w:rsidRDefault="00F72D43" w:rsidP="004D2F83">
            <w:pPr>
              <w:spacing w:line="276" w:lineRule="auto"/>
              <w:jc w:val="center"/>
              <w:rPr>
                <w:sz w:val="20"/>
              </w:rPr>
            </w:pPr>
            <w:r w:rsidRPr="004D2F83">
              <w:rPr>
                <w:sz w:val="20"/>
              </w:rPr>
              <w:t xml:space="preserve">Page </w:t>
            </w:r>
            <w:r w:rsidR="004D2F83" w:rsidRPr="004D2F83">
              <w:rPr>
                <w:sz w:val="20"/>
              </w:rPr>
              <w:t>7</w:t>
            </w:r>
          </w:p>
        </w:tc>
        <w:tc>
          <w:tcPr>
            <w:tcW w:w="8568" w:type="dxa"/>
            <w:tcBorders>
              <w:bottom w:val="single" w:sz="4" w:space="0" w:color="auto"/>
            </w:tcBorders>
            <w:shd w:val="clear" w:color="auto" w:fill="F2F2F2" w:themeFill="background1" w:themeFillShade="F2"/>
            <w:vAlign w:val="center"/>
          </w:tcPr>
          <w:p w14:paraId="21469FFE" w14:textId="3804BF6F" w:rsidR="00125304" w:rsidRPr="00737449" w:rsidRDefault="00737449" w:rsidP="008D5830">
            <w:pPr>
              <w:rPr>
                <w:sz w:val="20"/>
                <w:lang w:val="en-GB"/>
              </w:rPr>
            </w:pPr>
            <w:r w:rsidRPr="00737449">
              <w:rPr>
                <w:sz w:val="20"/>
                <w:lang w:val="en-GB"/>
              </w:rPr>
              <w:t xml:space="preserve">Do you agree that EMMI should avoid the continued publication of EONIA under the current methodology once the </w:t>
            </w:r>
            <w:r w:rsidRPr="00737449">
              <w:rPr>
                <w:sz w:val="20"/>
              </w:rPr>
              <w:t>€STR</w:t>
            </w:r>
            <w:r w:rsidRPr="00737449">
              <w:rPr>
                <w:sz w:val="20"/>
                <w:lang w:val="en-GB"/>
              </w:rPr>
              <w:t xml:space="preserve"> starts being published? Please provide a rationale for your answer.</w:t>
            </w:r>
          </w:p>
        </w:tc>
      </w:tr>
      <w:tr w:rsidR="00892628" w:rsidRPr="00AD7AE1" w14:paraId="694EE93F" w14:textId="77777777" w:rsidTr="004D2F83">
        <w:tc>
          <w:tcPr>
            <w:tcW w:w="93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AFA3D" w14:textId="27AD473E" w:rsidR="00892628" w:rsidRPr="00AD7AE1" w:rsidRDefault="00892628" w:rsidP="008D5830">
            <w:pPr>
              <w:rPr>
                <w:sz w:val="20"/>
              </w:rPr>
            </w:pPr>
            <w:r w:rsidRPr="00AD7AE1">
              <w:rPr>
                <w:sz w:val="20"/>
              </w:rPr>
              <w:t>[Answer here]</w:t>
            </w:r>
          </w:p>
        </w:tc>
      </w:tr>
    </w:tbl>
    <w:p w14:paraId="01DC0C7C" w14:textId="77777777" w:rsidR="008A40DB" w:rsidRPr="0046133E" w:rsidRDefault="008A40DB"/>
    <w:tbl>
      <w:tblPr>
        <w:tblStyle w:val="TableGrid"/>
        <w:tblW w:w="937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13" w:type="dxa"/>
          <w:bottom w:w="113" w:type="dxa"/>
        </w:tblCellMar>
        <w:tblLook w:val="04A0" w:firstRow="1" w:lastRow="0" w:firstColumn="1" w:lastColumn="0" w:noHBand="0" w:noVBand="1"/>
      </w:tblPr>
      <w:tblGrid>
        <w:gridCol w:w="807"/>
        <w:gridCol w:w="8568"/>
      </w:tblGrid>
      <w:tr w:rsidR="00125304" w:rsidRPr="00AD7AE1" w14:paraId="3392710E" w14:textId="77777777" w:rsidTr="004D2F83">
        <w:tc>
          <w:tcPr>
            <w:tcW w:w="807" w:type="dxa"/>
            <w:tcBorders>
              <w:bottom w:val="single" w:sz="4" w:space="0" w:color="auto"/>
            </w:tcBorders>
            <w:shd w:val="clear" w:color="auto" w:fill="F2F2F2" w:themeFill="background1" w:themeFillShade="F2"/>
            <w:vAlign w:val="center"/>
          </w:tcPr>
          <w:p w14:paraId="328AEB31" w14:textId="20B2EA38" w:rsidR="00125304" w:rsidRPr="004D2F83" w:rsidRDefault="00125304" w:rsidP="00BC088A">
            <w:pPr>
              <w:spacing w:line="276" w:lineRule="auto"/>
              <w:jc w:val="center"/>
              <w:rPr>
                <w:sz w:val="20"/>
              </w:rPr>
            </w:pPr>
            <w:r w:rsidRPr="004D2F83">
              <w:rPr>
                <w:sz w:val="20"/>
              </w:rPr>
              <w:t>Q</w:t>
            </w:r>
            <w:r w:rsidR="00737449">
              <w:rPr>
                <w:sz w:val="20"/>
              </w:rPr>
              <w:t>3b</w:t>
            </w:r>
          </w:p>
          <w:p w14:paraId="2547FA83" w14:textId="2285869D" w:rsidR="00F72D43" w:rsidRPr="004D2F83" w:rsidRDefault="00F72D43" w:rsidP="003270F2">
            <w:pPr>
              <w:spacing w:line="276" w:lineRule="auto"/>
              <w:jc w:val="center"/>
              <w:rPr>
                <w:sz w:val="20"/>
              </w:rPr>
            </w:pPr>
            <w:r w:rsidRPr="004D2F83">
              <w:rPr>
                <w:sz w:val="20"/>
              </w:rPr>
              <w:t xml:space="preserve">Page </w:t>
            </w:r>
            <w:r w:rsidR="003270F2">
              <w:rPr>
                <w:sz w:val="20"/>
              </w:rPr>
              <w:t>7</w:t>
            </w:r>
          </w:p>
        </w:tc>
        <w:tc>
          <w:tcPr>
            <w:tcW w:w="8568" w:type="dxa"/>
            <w:tcBorders>
              <w:bottom w:val="single" w:sz="4" w:space="0" w:color="auto"/>
            </w:tcBorders>
            <w:shd w:val="clear" w:color="auto" w:fill="F2F2F2" w:themeFill="background1" w:themeFillShade="F2"/>
            <w:vAlign w:val="center"/>
          </w:tcPr>
          <w:p w14:paraId="556234DA" w14:textId="7B9D2FFA" w:rsidR="00125304" w:rsidRPr="00737449" w:rsidRDefault="00737449" w:rsidP="00294B1E">
            <w:pPr>
              <w:spacing w:line="276" w:lineRule="auto"/>
              <w:jc w:val="both"/>
              <w:rPr>
                <w:sz w:val="20"/>
                <w:lang w:val="en-GB"/>
              </w:rPr>
            </w:pPr>
            <w:r w:rsidRPr="00737449">
              <w:rPr>
                <w:sz w:val="20"/>
                <w:lang w:val="en-GB"/>
              </w:rPr>
              <w:t xml:space="preserve">Do you foresee any issues arising from the projected implementation date of EONIA’s recalibrated methodology on </w:t>
            </w:r>
            <w:r w:rsidRPr="00737449">
              <w:rPr>
                <w:sz w:val="20"/>
              </w:rPr>
              <w:t>2 October 2019</w:t>
            </w:r>
            <w:r w:rsidRPr="00737449">
              <w:rPr>
                <w:sz w:val="20"/>
                <w:lang w:val="en-GB"/>
              </w:rPr>
              <w:t>? Please provide a rationale for your answer.</w:t>
            </w:r>
          </w:p>
        </w:tc>
      </w:tr>
      <w:tr w:rsidR="00892628" w:rsidRPr="00AD7AE1" w14:paraId="6AB09879" w14:textId="77777777" w:rsidTr="004D2F83">
        <w:tc>
          <w:tcPr>
            <w:tcW w:w="93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7A20E" w14:textId="3D92E240" w:rsidR="00892628" w:rsidRPr="00AD7AE1" w:rsidRDefault="00892628" w:rsidP="00294B1E">
            <w:pPr>
              <w:spacing w:line="276" w:lineRule="auto"/>
              <w:jc w:val="both"/>
              <w:rPr>
                <w:sz w:val="20"/>
              </w:rPr>
            </w:pPr>
            <w:r w:rsidRPr="00AD7AE1">
              <w:rPr>
                <w:sz w:val="20"/>
              </w:rPr>
              <w:t>[Answer here]</w:t>
            </w:r>
          </w:p>
        </w:tc>
      </w:tr>
    </w:tbl>
    <w:p w14:paraId="71D7917D" w14:textId="77777777" w:rsidR="008A40DB" w:rsidRPr="0046133E" w:rsidRDefault="008A40DB"/>
    <w:tbl>
      <w:tblPr>
        <w:tblStyle w:val="TableGrid"/>
        <w:tblW w:w="937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13" w:type="dxa"/>
          <w:bottom w:w="113" w:type="dxa"/>
        </w:tblCellMar>
        <w:tblLook w:val="04A0" w:firstRow="1" w:lastRow="0" w:firstColumn="1" w:lastColumn="0" w:noHBand="0" w:noVBand="1"/>
      </w:tblPr>
      <w:tblGrid>
        <w:gridCol w:w="807"/>
        <w:gridCol w:w="8568"/>
      </w:tblGrid>
      <w:tr w:rsidR="00125304" w:rsidRPr="00AD7AE1" w14:paraId="440B7FA6" w14:textId="77777777" w:rsidTr="004D2F83">
        <w:tc>
          <w:tcPr>
            <w:tcW w:w="807" w:type="dxa"/>
            <w:tcBorders>
              <w:bottom w:val="single" w:sz="4" w:space="0" w:color="auto"/>
            </w:tcBorders>
            <w:shd w:val="clear" w:color="auto" w:fill="F2F2F2" w:themeFill="background1" w:themeFillShade="F2"/>
            <w:vAlign w:val="center"/>
          </w:tcPr>
          <w:p w14:paraId="23EB05CD" w14:textId="05976787" w:rsidR="00125304" w:rsidRPr="004D2F83" w:rsidRDefault="00125304" w:rsidP="00BC088A">
            <w:pPr>
              <w:spacing w:line="276" w:lineRule="auto"/>
              <w:jc w:val="center"/>
              <w:rPr>
                <w:sz w:val="20"/>
              </w:rPr>
            </w:pPr>
            <w:r w:rsidRPr="004D2F83">
              <w:rPr>
                <w:sz w:val="20"/>
              </w:rPr>
              <w:t>Q</w:t>
            </w:r>
            <w:r w:rsidR="00737449">
              <w:rPr>
                <w:sz w:val="20"/>
              </w:rPr>
              <w:t>4</w:t>
            </w:r>
          </w:p>
          <w:p w14:paraId="71808CF2" w14:textId="0358BC5B" w:rsidR="00F72D43" w:rsidRPr="004D2F83" w:rsidRDefault="004D2F83" w:rsidP="003270F2">
            <w:pPr>
              <w:spacing w:line="276" w:lineRule="auto"/>
              <w:jc w:val="center"/>
              <w:rPr>
                <w:sz w:val="20"/>
              </w:rPr>
            </w:pPr>
            <w:r>
              <w:rPr>
                <w:sz w:val="20"/>
              </w:rPr>
              <w:t xml:space="preserve">Page </w:t>
            </w:r>
            <w:r w:rsidR="003270F2">
              <w:rPr>
                <w:sz w:val="20"/>
              </w:rPr>
              <w:t>8</w:t>
            </w:r>
          </w:p>
        </w:tc>
        <w:tc>
          <w:tcPr>
            <w:tcW w:w="8568" w:type="dxa"/>
            <w:tcBorders>
              <w:bottom w:val="single" w:sz="4" w:space="0" w:color="auto"/>
            </w:tcBorders>
            <w:shd w:val="clear" w:color="auto" w:fill="F2F2F2" w:themeFill="background1" w:themeFillShade="F2"/>
            <w:vAlign w:val="center"/>
          </w:tcPr>
          <w:p w14:paraId="7D591022" w14:textId="77777777" w:rsidR="00737449" w:rsidRPr="00737449" w:rsidRDefault="00737449" w:rsidP="00737449">
            <w:pPr>
              <w:spacing w:line="276" w:lineRule="auto"/>
              <w:jc w:val="both"/>
              <w:rPr>
                <w:sz w:val="20"/>
                <w:lang w:val="en-GB"/>
              </w:rPr>
            </w:pPr>
            <w:r w:rsidRPr="00737449">
              <w:rPr>
                <w:sz w:val="20"/>
                <w:lang w:val="en-GB"/>
              </w:rPr>
              <w:t>Do you foresee any impediments for the preparation and implementation of changes in IT or valuation systems prior to the first publication of EONIA under the recalibrated methodology on 2 October 2019? Please provide a rationale for your answer.</w:t>
            </w:r>
          </w:p>
          <w:p w14:paraId="6BAC176C" w14:textId="555D74DC" w:rsidR="00125304" w:rsidRPr="004D2F83" w:rsidRDefault="00125304" w:rsidP="00BC088A">
            <w:pPr>
              <w:spacing w:line="276" w:lineRule="auto"/>
              <w:jc w:val="both"/>
              <w:rPr>
                <w:sz w:val="20"/>
              </w:rPr>
            </w:pPr>
          </w:p>
        </w:tc>
      </w:tr>
      <w:tr w:rsidR="00892628" w:rsidRPr="00AD7AE1" w14:paraId="77FEC5E7" w14:textId="77777777" w:rsidTr="004D2F83">
        <w:tc>
          <w:tcPr>
            <w:tcW w:w="93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10E5" w14:textId="46FE8B17" w:rsidR="00892628" w:rsidRPr="00AD7AE1" w:rsidRDefault="00892628" w:rsidP="00BC088A">
            <w:pPr>
              <w:spacing w:line="276" w:lineRule="auto"/>
              <w:jc w:val="both"/>
              <w:rPr>
                <w:sz w:val="20"/>
              </w:rPr>
            </w:pPr>
            <w:r w:rsidRPr="00AD7AE1">
              <w:rPr>
                <w:sz w:val="20"/>
              </w:rPr>
              <w:t>[Answer here]</w:t>
            </w:r>
          </w:p>
        </w:tc>
      </w:tr>
    </w:tbl>
    <w:p w14:paraId="75F55B33" w14:textId="77777777" w:rsidR="008A40DB" w:rsidRPr="0046133E" w:rsidRDefault="008A40DB"/>
    <w:tbl>
      <w:tblPr>
        <w:tblStyle w:val="TableGrid"/>
        <w:tblW w:w="937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13" w:type="dxa"/>
          <w:bottom w:w="113" w:type="dxa"/>
        </w:tblCellMar>
        <w:tblLook w:val="04A0" w:firstRow="1" w:lastRow="0" w:firstColumn="1" w:lastColumn="0" w:noHBand="0" w:noVBand="1"/>
      </w:tblPr>
      <w:tblGrid>
        <w:gridCol w:w="807"/>
        <w:gridCol w:w="8568"/>
      </w:tblGrid>
      <w:tr w:rsidR="00125304" w:rsidRPr="00AD7AE1" w14:paraId="6A3FCC6B" w14:textId="77777777" w:rsidTr="004D2F83">
        <w:tc>
          <w:tcPr>
            <w:tcW w:w="807" w:type="dxa"/>
            <w:tcBorders>
              <w:bottom w:val="single" w:sz="4" w:space="0" w:color="auto"/>
            </w:tcBorders>
            <w:shd w:val="clear" w:color="auto" w:fill="F2F2F2" w:themeFill="background1" w:themeFillShade="F2"/>
            <w:vAlign w:val="center"/>
          </w:tcPr>
          <w:p w14:paraId="6D4D1610" w14:textId="0D4A5D66" w:rsidR="00125304" w:rsidRPr="004D2F83" w:rsidRDefault="00125304" w:rsidP="00BC088A">
            <w:pPr>
              <w:spacing w:line="276" w:lineRule="auto"/>
              <w:jc w:val="center"/>
              <w:rPr>
                <w:sz w:val="20"/>
              </w:rPr>
            </w:pPr>
            <w:r w:rsidRPr="004D2F83">
              <w:rPr>
                <w:sz w:val="20"/>
              </w:rPr>
              <w:t>Q</w:t>
            </w:r>
            <w:r w:rsidR="00737449">
              <w:rPr>
                <w:sz w:val="20"/>
              </w:rPr>
              <w:t>5</w:t>
            </w:r>
          </w:p>
          <w:p w14:paraId="017F2AE8" w14:textId="45BFDE7E" w:rsidR="00F72D43" w:rsidRPr="004D2F83" w:rsidRDefault="004D2F83" w:rsidP="003270F2">
            <w:pPr>
              <w:spacing w:line="276" w:lineRule="auto"/>
              <w:jc w:val="center"/>
              <w:rPr>
                <w:sz w:val="20"/>
              </w:rPr>
            </w:pPr>
            <w:r w:rsidRPr="004D2F83">
              <w:rPr>
                <w:sz w:val="20"/>
              </w:rPr>
              <w:t xml:space="preserve">Page </w:t>
            </w:r>
            <w:r w:rsidR="003270F2">
              <w:rPr>
                <w:sz w:val="20"/>
              </w:rPr>
              <w:t>8</w:t>
            </w:r>
          </w:p>
        </w:tc>
        <w:tc>
          <w:tcPr>
            <w:tcW w:w="8568" w:type="dxa"/>
            <w:tcBorders>
              <w:bottom w:val="single" w:sz="4" w:space="0" w:color="auto"/>
            </w:tcBorders>
            <w:shd w:val="clear" w:color="auto" w:fill="F2F2F2" w:themeFill="background1" w:themeFillShade="F2"/>
            <w:vAlign w:val="center"/>
          </w:tcPr>
          <w:p w14:paraId="069DAE99" w14:textId="560A5534" w:rsidR="00125304" w:rsidRPr="004D2F83" w:rsidRDefault="00737449" w:rsidP="00F72D43">
            <w:pPr>
              <w:spacing w:line="276" w:lineRule="auto"/>
              <w:jc w:val="both"/>
              <w:rPr>
                <w:sz w:val="20"/>
              </w:rPr>
            </w:pPr>
            <w:r>
              <w:rPr>
                <w:sz w:val="20"/>
                <w:lang w:val="en-GB"/>
              </w:rPr>
              <w:t>Do you foresee any challenges in the calendar proposed by EMMI to transition EONIA from the current to the recalibrated methodology proposed by the Working Group? Please provide a rationale for your answer.</w:t>
            </w:r>
          </w:p>
        </w:tc>
      </w:tr>
      <w:tr w:rsidR="00892628" w:rsidRPr="00AD7AE1" w14:paraId="5C493EF2" w14:textId="77777777" w:rsidTr="004D2F83">
        <w:tc>
          <w:tcPr>
            <w:tcW w:w="93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16980" w14:textId="2A982B24" w:rsidR="00892628" w:rsidRPr="00AD7AE1" w:rsidRDefault="00535329" w:rsidP="00F72D43">
            <w:pPr>
              <w:spacing w:after="120" w:line="276" w:lineRule="auto"/>
              <w:jc w:val="both"/>
              <w:rPr>
                <w:sz w:val="20"/>
              </w:rPr>
            </w:pPr>
            <w:r w:rsidRPr="00AD7AE1">
              <w:rPr>
                <w:sz w:val="20"/>
              </w:rPr>
              <w:t>[Answer here]</w:t>
            </w:r>
          </w:p>
        </w:tc>
      </w:tr>
    </w:tbl>
    <w:p w14:paraId="60B8AEEF" w14:textId="275A4A5F" w:rsidR="00ED358D" w:rsidRDefault="00ED358D"/>
    <w:tbl>
      <w:tblPr>
        <w:tblStyle w:val="TableGrid"/>
        <w:tblW w:w="9375"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113" w:type="dxa"/>
          <w:bottom w:w="113" w:type="dxa"/>
        </w:tblCellMar>
        <w:tblLook w:val="04A0" w:firstRow="1" w:lastRow="0" w:firstColumn="1" w:lastColumn="0" w:noHBand="0" w:noVBand="1"/>
      </w:tblPr>
      <w:tblGrid>
        <w:gridCol w:w="807"/>
        <w:gridCol w:w="8568"/>
      </w:tblGrid>
      <w:tr w:rsidR="004D2F83" w:rsidRPr="004D2F83" w14:paraId="213E4482" w14:textId="77777777" w:rsidTr="00813B43">
        <w:tc>
          <w:tcPr>
            <w:tcW w:w="807" w:type="dxa"/>
            <w:tcBorders>
              <w:bottom w:val="single" w:sz="4" w:space="0" w:color="auto"/>
            </w:tcBorders>
            <w:shd w:val="clear" w:color="auto" w:fill="F2F2F2" w:themeFill="background1" w:themeFillShade="F2"/>
            <w:vAlign w:val="center"/>
          </w:tcPr>
          <w:p w14:paraId="11B97F39" w14:textId="31D74AA0" w:rsidR="004D2F83" w:rsidRPr="004D2F83" w:rsidRDefault="004D2F83" w:rsidP="00813B43">
            <w:pPr>
              <w:spacing w:line="276" w:lineRule="auto"/>
              <w:jc w:val="center"/>
              <w:rPr>
                <w:sz w:val="20"/>
              </w:rPr>
            </w:pPr>
            <w:r w:rsidRPr="004D2F83">
              <w:rPr>
                <w:sz w:val="20"/>
              </w:rPr>
              <w:t>Q</w:t>
            </w:r>
            <w:r w:rsidR="00737449">
              <w:rPr>
                <w:sz w:val="20"/>
              </w:rPr>
              <w:t>6</w:t>
            </w:r>
          </w:p>
          <w:p w14:paraId="145255B9" w14:textId="39250FAE" w:rsidR="004D2F83" w:rsidRPr="004D2F83" w:rsidRDefault="004D2F83" w:rsidP="00737449">
            <w:pPr>
              <w:spacing w:line="276" w:lineRule="auto"/>
              <w:jc w:val="center"/>
              <w:rPr>
                <w:sz w:val="20"/>
              </w:rPr>
            </w:pPr>
            <w:r w:rsidRPr="004D2F83">
              <w:rPr>
                <w:sz w:val="20"/>
              </w:rPr>
              <w:t xml:space="preserve">Page </w:t>
            </w:r>
            <w:r w:rsidR="00737449">
              <w:rPr>
                <w:sz w:val="20"/>
              </w:rPr>
              <w:t>9</w:t>
            </w:r>
          </w:p>
        </w:tc>
        <w:tc>
          <w:tcPr>
            <w:tcW w:w="8568" w:type="dxa"/>
            <w:tcBorders>
              <w:bottom w:val="single" w:sz="4" w:space="0" w:color="auto"/>
            </w:tcBorders>
            <w:shd w:val="clear" w:color="auto" w:fill="F2F2F2" w:themeFill="background1" w:themeFillShade="F2"/>
            <w:vAlign w:val="center"/>
          </w:tcPr>
          <w:p w14:paraId="35AF4D89" w14:textId="4238125B" w:rsidR="004D2F83" w:rsidRPr="004D2F83" w:rsidRDefault="00737449" w:rsidP="00813B43">
            <w:pPr>
              <w:spacing w:line="276" w:lineRule="auto"/>
              <w:jc w:val="both"/>
              <w:rPr>
                <w:sz w:val="20"/>
              </w:rPr>
            </w:pPr>
            <w:r>
              <w:rPr>
                <w:sz w:val="20"/>
                <w:lang w:val="en-GB"/>
              </w:rPr>
              <w:t>Do you agree with EMMI’s proposed publication time for EONIA under the recalibrated methodology? Would a publication at or shortly after 11:00 a.m. CET pose a challenge in your use of EONIA? Please provide a rationale for your answer.</w:t>
            </w:r>
          </w:p>
        </w:tc>
      </w:tr>
      <w:tr w:rsidR="004D2F83" w:rsidRPr="00AD7AE1" w14:paraId="0BEED79E" w14:textId="77777777" w:rsidTr="00813B43">
        <w:tc>
          <w:tcPr>
            <w:tcW w:w="93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D6EA7E" w14:textId="77777777" w:rsidR="004D2F83" w:rsidRPr="00AD7AE1" w:rsidRDefault="004D2F83" w:rsidP="00813B43">
            <w:pPr>
              <w:spacing w:after="120" w:line="276" w:lineRule="auto"/>
              <w:jc w:val="both"/>
              <w:rPr>
                <w:sz w:val="20"/>
              </w:rPr>
            </w:pPr>
            <w:r w:rsidRPr="00AD7AE1">
              <w:rPr>
                <w:sz w:val="20"/>
              </w:rPr>
              <w:t>[Answer here]</w:t>
            </w:r>
          </w:p>
        </w:tc>
      </w:tr>
    </w:tbl>
    <w:p w14:paraId="267E7187" w14:textId="77777777" w:rsidR="003270F2" w:rsidRDefault="003270F2"/>
    <w:p w14:paraId="5BD607CE" w14:textId="77777777" w:rsidR="003270F2" w:rsidRDefault="003270F2"/>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355"/>
      </w:tblGrid>
      <w:tr w:rsidR="00F72D43" w:rsidRPr="00AD7AE1" w14:paraId="26A5C7C0" w14:textId="77777777" w:rsidTr="004D2F83">
        <w:tc>
          <w:tcPr>
            <w:tcW w:w="5000" w:type="pct"/>
            <w:tcBorders>
              <w:bottom w:val="single" w:sz="4" w:space="0" w:color="auto"/>
            </w:tcBorders>
            <w:shd w:val="clear" w:color="auto" w:fill="F2F2F2" w:themeFill="background1" w:themeFillShade="F2"/>
            <w:vAlign w:val="center"/>
          </w:tcPr>
          <w:p w14:paraId="74E0F6E7" w14:textId="77777777" w:rsidR="00892628" w:rsidRPr="00737449" w:rsidRDefault="00892628" w:rsidP="00A04957">
            <w:pPr>
              <w:spacing w:line="276" w:lineRule="auto"/>
              <w:jc w:val="both"/>
              <w:rPr>
                <w:color w:val="11689B"/>
                <w:sz w:val="20"/>
              </w:rPr>
            </w:pPr>
            <w:r w:rsidRPr="00737449">
              <w:rPr>
                <w:b/>
                <w:color w:val="11689B"/>
                <w:sz w:val="20"/>
              </w:rPr>
              <w:t>Other comments</w:t>
            </w:r>
          </w:p>
          <w:p w14:paraId="02CDA7AA" w14:textId="5DD7491F" w:rsidR="00F72D43" w:rsidRPr="00AD7AE1" w:rsidRDefault="00892628" w:rsidP="00737449">
            <w:pPr>
              <w:spacing w:line="276" w:lineRule="auto"/>
              <w:jc w:val="both"/>
              <w:rPr>
                <w:sz w:val="20"/>
              </w:rPr>
            </w:pPr>
            <w:r w:rsidRPr="00AD7AE1">
              <w:rPr>
                <w:sz w:val="20"/>
              </w:rPr>
              <w:t>I</w:t>
            </w:r>
            <w:r w:rsidR="00F72D43" w:rsidRPr="00AD7AE1">
              <w:rPr>
                <w:sz w:val="20"/>
              </w:rPr>
              <w:t>f you have any comments or remarks,</w:t>
            </w:r>
            <w:r w:rsidRPr="00AD7AE1">
              <w:rPr>
                <w:sz w:val="20"/>
              </w:rPr>
              <w:t xml:space="preserve"> please</w:t>
            </w:r>
            <w:r w:rsidR="00F72D43" w:rsidRPr="00AD7AE1">
              <w:rPr>
                <w:sz w:val="20"/>
              </w:rPr>
              <w:t xml:space="preserve"> include them </w:t>
            </w:r>
            <w:r w:rsidR="00A04957" w:rsidRPr="00AD7AE1">
              <w:rPr>
                <w:sz w:val="20"/>
              </w:rPr>
              <w:t>below.</w:t>
            </w:r>
          </w:p>
        </w:tc>
      </w:tr>
      <w:tr w:rsidR="00892628" w:rsidRPr="00AD7AE1" w14:paraId="48C9B5F3" w14:textId="77777777" w:rsidTr="004D2F83">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E957E" w14:textId="4DEA0700" w:rsidR="00892628" w:rsidRPr="00AD7AE1" w:rsidRDefault="00892628" w:rsidP="00A04957">
            <w:pPr>
              <w:spacing w:line="276" w:lineRule="auto"/>
              <w:jc w:val="both"/>
              <w:rPr>
                <w:b/>
                <w:color w:val="000000" w:themeColor="text1"/>
                <w:sz w:val="20"/>
              </w:rPr>
            </w:pPr>
            <w:r w:rsidRPr="00AD7AE1">
              <w:rPr>
                <w:sz w:val="20"/>
              </w:rPr>
              <w:t>[Answer here]</w:t>
            </w:r>
          </w:p>
        </w:tc>
      </w:tr>
    </w:tbl>
    <w:p w14:paraId="42F6792C" w14:textId="03A7B66E" w:rsidR="007D1136" w:rsidRPr="0069542B" w:rsidRDefault="007D1136" w:rsidP="00F72D43"/>
    <w:sectPr w:rsidR="007D1136" w:rsidRPr="0069542B" w:rsidSect="004D2C38">
      <w:type w:val="continuous"/>
      <w:pgSz w:w="11906" w:h="16838" w:code="9"/>
      <w:pgMar w:top="2268" w:right="1133" w:bottom="1276" w:left="1418" w:header="709" w:footer="78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D6568" w14:textId="77777777" w:rsidR="007623AE" w:rsidRDefault="007623AE">
      <w:r>
        <w:separator/>
      </w:r>
    </w:p>
  </w:endnote>
  <w:endnote w:type="continuationSeparator" w:id="0">
    <w:p w14:paraId="5732E10A" w14:textId="77777777" w:rsidR="007623AE" w:rsidRDefault="0076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chivo Narrow">
    <w:altName w:val="Arial"/>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14A0C" w14:textId="629AA035" w:rsidR="00A304C2" w:rsidRDefault="00A304C2" w:rsidP="00AE6654">
    <w:pPr>
      <w:pStyle w:val="Footer"/>
      <w:ind w:right="360"/>
    </w:pPr>
  </w:p>
  <w:p w14:paraId="776A2C45" w14:textId="6100F38F" w:rsidR="00A304C2" w:rsidRDefault="00A304C2">
    <w:pPr>
      <w:rPr>
        <w:rFonts w:ascii="Archivo Narrow" w:hAnsi="Archivo Narrow"/>
        <w:color w:val="7F7F7F" w:themeColor="text1" w:themeTint="80"/>
        <w:sz w:val="24"/>
      </w:rPr>
    </w:pPr>
    <w:r w:rsidRPr="004710AC">
      <w:rPr>
        <w:noProof/>
        <w:lang w:eastAsia="en-US"/>
      </w:rPr>
      <mc:AlternateContent>
        <mc:Choice Requires="wps">
          <w:drawing>
            <wp:anchor distT="0" distB="0" distL="114300" distR="114300" simplePos="0" relativeHeight="251665920" behindDoc="0" locked="0" layoutInCell="1" allowOverlap="1" wp14:anchorId="49A07D9F" wp14:editId="2ABCE16D">
              <wp:simplePos x="0" y="0"/>
              <wp:positionH relativeFrom="column">
                <wp:posOffset>-105092</wp:posOffset>
              </wp:positionH>
              <wp:positionV relativeFrom="paragraph">
                <wp:posOffset>69850</wp:posOffset>
              </wp:positionV>
              <wp:extent cx="381000" cy="333375"/>
              <wp:effectExtent l="42862" t="0" r="42863" b="23812"/>
              <wp:wrapNone/>
              <wp:docPr id="5" name="Elbow Connector 5"/>
              <wp:cNvGraphicFramePr/>
              <a:graphic xmlns:a="http://schemas.openxmlformats.org/drawingml/2006/main">
                <a:graphicData uri="http://schemas.microsoft.com/office/word/2010/wordprocessingShape">
                  <wps:wsp>
                    <wps:cNvCnPr/>
                    <wps:spPr>
                      <a:xfrm rot="16200000" flipV="1">
                        <a:off x="0" y="0"/>
                        <a:ext cx="381000" cy="333375"/>
                      </a:xfrm>
                      <a:prstGeom prst="bentConnector3">
                        <a:avLst>
                          <a:gd name="adj1" fmla="val 9693"/>
                        </a:avLst>
                      </a:prstGeom>
                      <a:ln w="76200">
                        <a:solidFill>
                          <a:srgbClr val="3E8C84"/>
                        </a:solidFill>
                        <a:miter lim="800000"/>
                      </a:ln>
                      <a:effec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AC8BD0F"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 o:spid="_x0000_s1026" type="#_x0000_t34" style="position:absolute;margin-left:-8.25pt;margin-top:5.5pt;width:30pt;height:26.25pt;rotation:90;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" adj="2094" strokecolor="#3e8c84" strokeweight="6pt"/>
          </w:pict>
        </mc:Fallback>
      </mc:AlternateContent>
    </w:r>
    <w:r w:rsidRPr="0015259D">
      <w:rPr>
        <w:rFonts w:ascii="Archivo Narrow" w:hAnsi="Archivo Narrow"/>
        <w:color w:val="7F7F7F" w:themeColor="text1" w:themeTint="80"/>
        <w:sz w:val="24"/>
      </w:rPr>
      <w:t>European Money Markets Institute</w:t>
    </w:r>
  </w:p>
  <w:p w14:paraId="561C03AE" w14:textId="20C7F546" w:rsidR="00A304C2" w:rsidRPr="00EF14F7" w:rsidRDefault="00A304C2" w:rsidP="00DA749B">
    <w:pPr>
      <w:pStyle w:val="Footer"/>
      <w:ind w:right="360"/>
      <w:rPr>
        <w:color w:val="7F7F7F" w:themeColor="text1" w:themeTint="80"/>
      </w:rPr>
    </w:pPr>
    <w:r w:rsidRPr="00CD3B62">
      <w:rPr>
        <w:color w:val="7F7F7F" w:themeColor="text1" w:themeTint="80"/>
        <w:sz w:val="20"/>
        <w:szCs w:val="20"/>
      </w:rPr>
      <w:t xml:space="preserve">Page </w:t>
    </w:r>
    <w:r w:rsidRPr="00CD3B62">
      <w:rPr>
        <w:color w:val="7F7F7F" w:themeColor="text1" w:themeTint="80"/>
        <w:sz w:val="20"/>
        <w:szCs w:val="20"/>
      </w:rPr>
      <w:fldChar w:fldCharType="begin"/>
    </w:r>
    <w:r w:rsidRPr="00CD3B62">
      <w:rPr>
        <w:color w:val="7F7F7F" w:themeColor="text1" w:themeTint="80"/>
        <w:sz w:val="20"/>
        <w:szCs w:val="20"/>
      </w:rPr>
      <w:instrText xml:space="preserve"> PAGE   \* MERGEFORMAT </w:instrText>
    </w:r>
    <w:r w:rsidRPr="00CD3B62">
      <w:rPr>
        <w:color w:val="7F7F7F" w:themeColor="text1" w:themeTint="80"/>
        <w:sz w:val="20"/>
        <w:szCs w:val="20"/>
      </w:rPr>
      <w:fldChar w:fldCharType="separate"/>
    </w:r>
    <w:r w:rsidR="006335A5">
      <w:rPr>
        <w:noProof/>
        <w:color w:val="7F7F7F" w:themeColor="text1" w:themeTint="80"/>
        <w:sz w:val="20"/>
        <w:szCs w:val="20"/>
      </w:rPr>
      <w:t>2</w:t>
    </w:r>
    <w:r w:rsidRPr="00CD3B62">
      <w:rPr>
        <w:noProof/>
        <w:color w:val="7F7F7F" w:themeColor="text1" w:themeTint="80"/>
        <w:sz w:val="20"/>
        <w:szCs w:val="20"/>
      </w:rPr>
      <w:fldChar w:fldCharType="end"/>
    </w:r>
    <w:r w:rsidRPr="00EE25DD">
      <w:rPr>
        <w:color w:val="7F7F7F" w:themeColor="text1" w:themeTint="80"/>
        <w:sz w:val="20"/>
        <w:szCs w:val="20"/>
      </w:rPr>
      <w:t xml:space="preserve">       </w:t>
    </w:r>
  </w:p>
  <w:p w14:paraId="2223BBA9" w14:textId="77777777" w:rsidR="00A304C2" w:rsidRDefault="00A304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C3115" w14:textId="77777777" w:rsidR="00A304C2" w:rsidRDefault="00A304C2" w:rsidP="00EC60A4">
    <w:pPr>
      <w:pStyle w:val="Footer"/>
      <w:tabs>
        <w:tab w:val="clear" w:pos="4536"/>
        <w:tab w:val="clear" w:pos="9072"/>
      </w:tabs>
      <w:ind w:right="717"/>
      <w:jc w:val="right"/>
      <w:rPr>
        <w:rFonts w:ascii="Archivo Narrow" w:hAnsi="Archivo Narrow"/>
        <w:sz w:val="24"/>
        <w:lang w:val="fr-BE"/>
      </w:rPr>
    </w:pPr>
  </w:p>
  <w:p w14:paraId="2A63BFE2" w14:textId="78BC8459" w:rsidR="00A304C2" w:rsidRPr="00EE25DD" w:rsidRDefault="00A304C2" w:rsidP="004832BF">
    <w:pPr>
      <w:pStyle w:val="Footer"/>
      <w:tabs>
        <w:tab w:val="clear" w:pos="9072"/>
        <w:tab w:val="right" w:pos="9720"/>
      </w:tabs>
      <w:ind w:right="-3"/>
      <w:rPr>
        <w:rFonts w:ascii="Archivo Narrow" w:hAnsi="Archivo Narrow"/>
        <w:sz w:val="24"/>
      </w:rPr>
    </w:pPr>
    <w:r w:rsidRPr="004710AC">
      <w:rPr>
        <w:noProof/>
        <w:lang w:eastAsia="en-US"/>
      </w:rPr>
      <mc:AlternateContent>
        <mc:Choice Requires="wps">
          <w:drawing>
            <wp:anchor distT="0" distB="0" distL="114300" distR="114300" simplePos="0" relativeHeight="251661824" behindDoc="0" locked="0" layoutInCell="1" allowOverlap="1" wp14:anchorId="76F1694E" wp14:editId="3E80E501">
              <wp:simplePos x="0" y="0"/>
              <wp:positionH relativeFrom="column">
                <wp:posOffset>5715000</wp:posOffset>
              </wp:positionH>
              <wp:positionV relativeFrom="paragraph">
                <wp:posOffset>66675</wp:posOffset>
              </wp:positionV>
              <wp:extent cx="381000" cy="333376"/>
              <wp:effectExtent l="0" t="38100" r="19050" b="47625"/>
              <wp:wrapNone/>
              <wp:docPr id="29" name="Elbow Connector 29"/>
              <wp:cNvGraphicFramePr/>
              <a:graphic xmlns:a="http://schemas.openxmlformats.org/drawingml/2006/main">
                <a:graphicData uri="http://schemas.microsoft.com/office/word/2010/wordprocessingShape">
                  <wps:wsp>
                    <wps:cNvCnPr/>
                    <wps:spPr>
                      <a:xfrm rot="10800000" flipV="1">
                        <a:off x="0" y="0"/>
                        <a:ext cx="381000" cy="333376"/>
                      </a:xfrm>
                      <a:prstGeom prst="bentConnector3">
                        <a:avLst>
                          <a:gd name="adj1" fmla="val 9693"/>
                        </a:avLst>
                      </a:prstGeom>
                      <a:ln w="76200">
                        <a:solidFill>
                          <a:srgbClr val="3E8C84"/>
                        </a:solidFill>
                        <a:miter lim="800000"/>
                      </a:ln>
                      <a:effec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DA0DE5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9" o:spid="_x0000_s1026" type="#_x0000_t34" style="position:absolute;margin-left:450pt;margin-top:5.25pt;width:30pt;height:26.25pt;rotation:180;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" adj="2094" strokecolor="#3e8c84" strokeweight="6pt"/>
          </w:pict>
        </mc:Fallback>
      </mc:AlternateContent>
    </w:r>
    <w:r w:rsidRPr="004832BF">
      <w:rPr>
        <w:rFonts w:asciiTheme="minorHAnsi" w:hAnsiTheme="minorHAnsi"/>
        <w:b/>
        <w:i/>
        <w:color w:val="FF0000"/>
        <w:sz w:val="18"/>
        <w:szCs w:val="18"/>
      </w:rPr>
      <w:t xml:space="preserve"> </w:t>
    </w:r>
    <w:r w:rsidRPr="00EE25DD">
      <w:rPr>
        <w:rFonts w:ascii="Archivo Narrow" w:hAnsi="Archivo Narrow"/>
        <w:sz w:val="24"/>
      </w:rPr>
      <w:t xml:space="preserve"> </w:t>
    </w:r>
    <w:r w:rsidRPr="00EE25DD">
      <w:rPr>
        <w:rFonts w:ascii="Archivo Narrow" w:hAnsi="Archivo Narrow"/>
        <w:sz w:val="24"/>
      </w:rPr>
      <w:tab/>
    </w:r>
    <w:r w:rsidRPr="00EE25DD">
      <w:rPr>
        <w:rFonts w:ascii="Archivo Narrow" w:hAnsi="Archivo Narrow"/>
        <w:sz w:val="24"/>
      </w:rPr>
      <w:tab/>
    </w:r>
    <w:r w:rsidRPr="0015259D">
      <w:rPr>
        <w:rFonts w:ascii="Archivo Narrow" w:hAnsi="Archivo Narrow"/>
        <w:color w:val="7F7F7F" w:themeColor="text1" w:themeTint="80"/>
        <w:sz w:val="24"/>
      </w:rPr>
      <w:t>European Money Markets Institute</w:t>
    </w:r>
  </w:p>
  <w:p w14:paraId="4FC4FEFE" w14:textId="7FF79F2B" w:rsidR="00A304C2" w:rsidRPr="00EE25DD" w:rsidRDefault="00A304C2" w:rsidP="00CA6721">
    <w:pPr>
      <w:pStyle w:val="Footer"/>
      <w:tabs>
        <w:tab w:val="clear" w:pos="4536"/>
        <w:tab w:val="clear" w:pos="9072"/>
      </w:tabs>
      <w:ind w:right="-1"/>
      <w:jc w:val="right"/>
    </w:pPr>
    <w:r w:rsidRPr="00EE25DD">
      <w:tab/>
    </w:r>
    <w:r w:rsidRPr="00CD3B62">
      <w:rPr>
        <w:color w:val="7F7F7F" w:themeColor="text1" w:themeTint="80"/>
        <w:sz w:val="20"/>
        <w:szCs w:val="20"/>
      </w:rPr>
      <w:t xml:space="preserve">Page </w:t>
    </w:r>
    <w:r w:rsidRPr="00CD3B62">
      <w:rPr>
        <w:color w:val="7F7F7F" w:themeColor="text1" w:themeTint="80"/>
        <w:sz w:val="20"/>
        <w:szCs w:val="20"/>
      </w:rPr>
      <w:fldChar w:fldCharType="begin"/>
    </w:r>
    <w:r w:rsidRPr="00CD3B62">
      <w:rPr>
        <w:color w:val="7F7F7F" w:themeColor="text1" w:themeTint="80"/>
        <w:sz w:val="20"/>
        <w:szCs w:val="20"/>
      </w:rPr>
      <w:instrText xml:space="preserve"> PAGE   \* MERGEFORMAT </w:instrText>
    </w:r>
    <w:r w:rsidRPr="00CD3B62">
      <w:rPr>
        <w:color w:val="7F7F7F" w:themeColor="text1" w:themeTint="80"/>
        <w:sz w:val="20"/>
        <w:szCs w:val="20"/>
      </w:rPr>
      <w:fldChar w:fldCharType="separate"/>
    </w:r>
    <w:r w:rsidR="006335A5">
      <w:rPr>
        <w:noProof/>
        <w:color w:val="7F7F7F" w:themeColor="text1" w:themeTint="80"/>
        <w:sz w:val="20"/>
        <w:szCs w:val="20"/>
      </w:rPr>
      <w:t>3</w:t>
    </w:r>
    <w:r w:rsidRPr="00CD3B62">
      <w:rPr>
        <w:noProof/>
        <w:color w:val="7F7F7F" w:themeColor="text1" w:themeTint="80"/>
        <w:sz w:val="20"/>
        <w:szCs w:val="20"/>
      </w:rPr>
      <w:fldChar w:fldCharType="end"/>
    </w:r>
    <w:r w:rsidRPr="00EE25DD">
      <w:rPr>
        <w:sz w:val="20"/>
        <w:szCs w:val="20"/>
      </w:rPr>
      <w:t xml:space="preserve">       </w:t>
    </w:r>
  </w:p>
  <w:p w14:paraId="06604FAB" w14:textId="77777777" w:rsidR="00A304C2" w:rsidRDefault="00A304C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22E56" w14:textId="77777777" w:rsidR="00A304C2" w:rsidRPr="004710AC" w:rsidRDefault="00A304C2" w:rsidP="00C66B6D">
    <w:pPr>
      <w:pStyle w:val="Footer"/>
      <w:tabs>
        <w:tab w:val="clear" w:pos="9072"/>
        <w:tab w:val="right" w:pos="4536"/>
        <w:tab w:val="left" w:pos="9900"/>
      </w:tabs>
      <w:ind w:right="267"/>
    </w:pPr>
    <w:r w:rsidRPr="004710AC">
      <w:tab/>
    </w:r>
  </w:p>
  <w:p w14:paraId="3E685543" w14:textId="77777777" w:rsidR="00A304C2" w:rsidRPr="004710AC" w:rsidRDefault="00A304C2" w:rsidP="00C66B6D">
    <w:pPr>
      <w:pStyle w:val="Footer"/>
      <w:tabs>
        <w:tab w:val="right" w:pos="9639"/>
      </w:tabs>
      <w:ind w:right="-5"/>
      <w:jc w:val="right"/>
      <w:rPr>
        <w:rFonts w:ascii="Archivo Narrow" w:hAnsi="Archivo Narrow"/>
        <w:sz w:val="24"/>
        <w:lang w:val="fr-BE"/>
      </w:rPr>
    </w:pPr>
    <w:r w:rsidRPr="004710AC">
      <w:rPr>
        <w:noProof/>
        <w:lang w:eastAsia="en-US"/>
      </w:rPr>
      <mc:AlternateContent>
        <mc:Choice Requires="wps">
          <w:drawing>
            <wp:anchor distT="0" distB="0" distL="114300" distR="114300" simplePos="0" relativeHeight="251678720" behindDoc="0" locked="0" layoutInCell="1" allowOverlap="1" wp14:anchorId="46FFC8E1" wp14:editId="1AB888ED">
              <wp:simplePos x="0" y="0"/>
              <wp:positionH relativeFrom="column">
                <wp:posOffset>5721350</wp:posOffset>
              </wp:positionH>
              <wp:positionV relativeFrom="paragraph">
                <wp:posOffset>66675</wp:posOffset>
              </wp:positionV>
              <wp:extent cx="381000" cy="333376"/>
              <wp:effectExtent l="0" t="38100" r="19050" b="47625"/>
              <wp:wrapNone/>
              <wp:docPr id="18" name="Elbow Connector 18"/>
              <wp:cNvGraphicFramePr/>
              <a:graphic xmlns:a="http://schemas.openxmlformats.org/drawingml/2006/main">
                <a:graphicData uri="http://schemas.microsoft.com/office/word/2010/wordprocessingShape">
                  <wps:wsp>
                    <wps:cNvCnPr/>
                    <wps:spPr>
                      <a:xfrm rot="10800000" flipV="1">
                        <a:off x="0" y="0"/>
                        <a:ext cx="381000" cy="333376"/>
                      </a:xfrm>
                      <a:prstGeom prst="bentConnector3">
                        <a:avLst>
                          <a:gd name="adj1" fmla="val 9693"/>
                        </a:avLst>
                      </a:prstGeom>
                      <a:ln w="76200">
                        <a:solidFill>
                          <a:srgbClr val="3E8C84"/>
                        </a:solidFill>
                        <a:miter lim="800000"/>
                      </a:ln>
                      <a:effectLst/>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781274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8" o:spid="_x0000_s1026" type="#_x0000_t34" style="position:absolute;margin-left:450.5pt;margin-top:5.25pt;width:30pt;height:26.25pt;rotation:180;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" adj="2094" strokecolor="#3e8c84" strokeweight="6pt"/>
          </w:pict>
        </mc:Fallback>
      </mc:AlternateContent>
    </w:r>
    <w:proofErr w:type="spellStart"/>
    <w:r w:rsidRPr="004710AC">
      <w:rPr>
        <w:rFonts w:ascii="Archivo Narrow" w:hAnsi="Archivo Narrow"/>
        <w:sz w:val="24"/>
        <w:lang w:val="fr-BE"/>
      </w:rPr>
      <w:t>European</w:t>
    </w:r>
    <w:proofErr w:type="spellEnd"/>
    <w:r w:rsidRPr="004710AC">
      <w:rPr>
        <w:rFonts w:ascii="Archivo Narrow" w:hAnsi="Archivo Narrow"/>
        <w:sz w:val="24"/>
        <w:lang w:val="fr-BE"/>
      </w:rPr>
      <w:t xml:space="preserve"> Money </w:t>
    </w:r>
    <w:proofErr w:type="spellStart"/>
    <w:r w:rsidRPr="004710AC">
      <w:rPr>
        <w:rFonts w:ascii="Archivo Narrow" w:hAnsi="Archivo Narrow"/>
        <w:sz w:val="24"/>
        <w:lang w:val="fr-BE"/>
      </w:rPr>
      <w:t>Markets</w:t>
    </w:r>
    <w:proofErr w:type="spellEnd"/>
    <w:r w:rsidRPr="004710AC">
      <w:rPr>
        <w:rFonts w:ascii="Archivo Narrow" w:hAnsi="Archivo Narrow"/>
        <w:sz w:val="24"/>
        <w:lang w:val="fr-BE"/>
      </w:rPr>
      <w:t xml:space="preserve"> Institute</w:t>
    </w:r>
  </w:p>
  <w:p w14:paraId="439BB1C6" w14:textId="2D2A8C2E" w:rsidR="00A304C2" w:rsidRDefault="00A304C2" w:rsidP="00C66B6D">
    <w:pPr>
      <w:pStyle w:val="Footer"/>
      <w:tabs>
        <w:tab w:val="right" w:pos="9639"/>
      </w:tabs>
      <w:ind w:right="-5"/>
      <w:jc w:val="right"/>
      <w:rPr>
        <w:sz w:val="20"/>
        <w:szCs w:val="20"/>
        <w:lang w:val="fr-BE"/>
      </w:rPr>
    </w:pPr>
    <w:r w:rsidRPr="004710AC">
      <w:rPr>
        <w:lang w:val="fr-BE"/>
      </w:rPr>
      <w:tab/>
    </w:r>
    <w:r w:rsidRPr="004710AC">
      <w:rPr>
        <w:sz w:val="20"/>
        <w:szCs w:val="20"/>
        <w:lang w:val="fr-BE"/>
      </w:rPr>
      <w:t>56, Avenue des Arts 1000 Brussels | +32 (0) 2 431</w:t>
    </w:r>
    <w:r>
      <w:rPr>
        <w:sz w:val="20"/>
        <w:szCs w:val="20"/>
        <w:lang w:val="fr-BE"/>
      </w:rPr>
      <w:t xml:space="preserve"> 52 08 |</w:t>
    </w:r>
    <w:r w:rsidRPr="00C66B6D">
      <w:rPr>
        <w:sz w:val="20"/>
        <w:szCs w:val="20"/>
        <w:lang w:val="fr-BE"/>
      </w:rPr>
      <w:t xml:space="preserve"> </w:t>
    </w:r>
    <w:hyperlink r:id="rId1" w:history="1">
      <w:r w:rsidRPr="00C66B6D">
        <w:rPr>
          <w:rStyle w:val="Hyperlink"/>
          <w:rFonts w:ascii="Calibri" w:hAnsi="Calibri"/>
          <w:color w:val="auto"/>
          <w:sz w:val="20"/>
          <w:szCs w:val="20"/>
          <w:u w:val="none"/>
          <w:lang w:val="fr-BE"/>
        </w:rPr>
        <w:t>info@emmi-benchmarks.eu</w:t>
      </w:r>
    </w:hyperlink>
  </w:p>
  <w:p w14:paraId="3469ABB6" w14:textId="77777777" w:rsidR="00A304C2" w:rsidRPr="00EC60A4" w:rsidRDefault="00A304C2" w:rsidP="00C66B6D">
    <w:pPr>
      <w:pStyle w:val="Footer"/>
      <w:tabs>
        <w:tab w:val="right" w:pos="9639"/>
      </w:tabs>
      <w:ind w:right="-5"/>
      <w:jc w:val="right"/>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0B4DE" w14:textId="77777777" w:rsidR="007623AE" w:rsidRDefault="007623AE">
      <w:r>
        <w:separator/>
      </w:r>
    </w:p>
  </w:footnote>
  <w:footnote w:type="continuationSeparator" w:id="0">
    <w:p w14:paraId="323C331D" w14:textId="77777777" w:rsidR="007623AE" w:rsidRDefault="007623AE">
      <w:r>
        <w:continuationSeparator/>
      </w:r>
    </w:p>
  </w:footnote>
  <w:footnote w:id="1">
    <w:p w14:paraId="153A6EAF" w14:textId="77777777" w:rsidR="001B17C8" w:rsidRPr="00AC3B04" w:rsidRDefault="001B17C8" w:rsidP="001B17C8">
      <w:pPr>
        <w:pStyle w:val="FootnoteText"/>
        <w:rPr>
          <w:sz w:val="16"/>
          <w:szCs w:val="16"/>
        </w:rPr>
      </w:pPr>
      <w:r w:rsidRPr="00AC3B04">
        <w:rPr>
          <w:rStyle w:val="FootnoteReference"/>
          <w:sz w:val="16"/>
          <w:szCs w:val="16"/>
        </w:rPr>
        <w:footnoteRef/>
      </w:r>
      <w:r w:rsidRPr="00AC3B04">
        <w:rPr>
          <w:sz w:val="16"/>
          <w:szCs w:val="16"/>
        </w:rPr>
        <w:t xml:space="preserve"> (EU BMR) </w:t>
      </w:r>
      <w:hyperlink r:id="rId1" w:history="1">
        <w:r w:rsidRPr="00AC3B04">
          <w:rPr>
            <w:rStyle w:val="Hyperlink"/>
            <w:sz w:val="16"/>
            <w:szCs w:val="16"/>
          </w:rPr>
          <w:t>Regulation (EU) 2016/1011 of the European Parliament and of the Council of 8 June 2016</w:t>
        </w:r>
      </w:hyperlink>
      <w:r w:rsidRPr="00AC3B04">
        <w:rPr>
          <w:sz w:val="16"/>
          <w:szCs w:val="16"/>
        </w:rPr>
        <w:t xml:space="preserve"> on indices used as benchmarks</w:t>
      </w:r>
    </w:p>
  </w:footnote>
  <w:footnote w:id="2">
    <w:p w14:paraId="7DB4E1FF" w14:textId="77777777" w:rsidR="001B17C8" w:rsidRPr="00AC3B04" w:rsidRDefault="001B17C8" w:rsidP="001B17C8">
      <w:pPr>
        <w:pStyle w:val="FootnoteText"/>
        <w:rPr>
          <w:sz w:val="16"/>
          <w:szCs w:val="16"/>
        </w:rPr>
      </w:pPr>
      <w:r w:rsidRPr="00AC3B04">
        <w:rPr>
          <w:rStyle w:val="FootnoteReference"/>
          <w:sz w:val="16"/>
          <w:szCs w:val="16"/>
        </w:rPr>
        <w:footnoteRef/>
      </w:r>
      <w:r w:rsidRPr="00AC3B04">
        <w:rPr>
          <w:sz w:val="16"/>
          <w:szCs w:val="16"/>
        </w:rPr>
        <w:t xml:space="preserve"> TARGET stands for Trans‐European Automated Real‐time Gross settlement Express Transfer System. The euro system maintains TARGET2, which is the second generation of TARGET and is a real‐time gross settlement system. Throughout this document, references to “TARGET” should be read with respect to the euro system’s TARGET2 system. </w:t>
      </w:r>
    </w:p>
  </w:footnote>
  <w:footnote w:id="3">
    <w:p w14:paraId="1F4EFD35" w14:textId="77777777" w:rsidR="001B17C8" w:rsidRPr="007F4BF6" w:rsidRDefault="001B17C8" w:rsidP="001B17C8">
      <w:pPr>
        <w:pStyle w:val="FootnoteText"/>
        <w:rPr>
          <w:lang w:val="en-GB"/>
        </w:rPr>
      </w:pPr>
      <w:r w:rsidRPr="00AF6E23">
        <w:rPr>
          <w:rStyle w:val="FootnoteReference"/>
          <w:sz w:val="16"/>
        </w:rPr>
        <w:footnoteRef/>
      </w:r>
      <w:r w:rsidRPr="00AF6E23">
        <w:rPr>
          <w:sz w:val="16"/>
        </w:rPr>
        <w:t xml:space="preserve"> The difference between these volumes</w:t>
      </w:r>
      <w:r>
        <w:rPr>
          <w:sz w:val="16"/>
        </w:rPr>
        <w:t xml:space="preserve"> is </w:t>
      </w:r>
      <w:r w:rsidRPr="00AF6E23">
        <w:rPr>
          <w:sz w:val="16"/>
        </w:rPr>
        <w:t>due to the fact that not all EONIA-eligible transactions settle in the TARGET2 system/Central Bank money.</w:t>
      </w:r>
    </w:p>
  </w:footnote>
  <w:footnote w:id="4">
    <w:p w14:paraId="3454A09D" w14:textId="77777777" w:rsidR="001B17C8" w:rsidRPr="007A778A" w:rsidRDefault="001B17C8" w:rsidP="001B17C8">
      <w:pPr>
        <w:pStyle w:val="FootnoteText"/>
      </w:pPr>
      <w:r w:rsidRPr="007A778A">
        <w:rPr>
          <w:rStyle w:val="FootnoteReference"/>
          <w:sz w:val="16"/>
        </w:rPr>
        <w:footnoteRef/>
      </w:r>
      <w:r w:rsidRPr="007A778A">
        <w:rPr>
          <w:sz w:val="16"/>
        </w:rPr>
        <w:t xml:space="preserve"> In view of its role as an administrator of critical benchmarks, EMMI is a </w:t>
      </w:r>
      <w:hyperlink r:id="rId2" w:history="1">
        <w:r w:rsidRPr="007A778A">
          <w:rPr>
            <w:rStyle w:val="Hyperlink"/>
            <w:rFonts w:ascii="Calibri" w:hAnsi="Calibri"/>
            <w:sz w:val="16"/>
          </w:rPr>
          <w:t>non-voting member</w:t>
        </w:r>
      </w:hyperlink>
      <w:r w:rsidRPr="007A778A">
        <w:rPr>
          <w:sz w:val="16"/>
        </w:rPr>
        <w:t xml:space="preserve"> of the Working Group.</w:t>
      </w:r>
    </w:p>
  </w:footnote>
  <w:footnote w:id="5">
    <w:p w14:paraId="2DA27004" w14:textId="77777777" w:rsidR="001B17C8" w:rsidRPr="00AC3B04" w:rsidRDefault="001B17C8" w:rsidP="001B17C8">
      <w:pPr>
        <w:pStyle w:val="FootnoteText"/>
        <w:jc w:val="both"/>
        <w:rPr>
          <w:sz w:val="16"/>
          <w:szCs w:val="16"/>
        </w:rPr>
      </w:pPr>
      <w:r w:rsidRPr="00AC3B04">
        <w:rPr>
          <w:rStyle w:val="FootnoteReference"/>
          <w:sz w:val="16"/>
          <w:szCs w:val="16"/>
        </w:rPr>
        <w:footnoteRef/>
      </w:r>
      <w:r w:rsidRPr="00AC3B04">
        <w:rPr>
          <w:sz w:val="16"/>
          <w:szCs w:val="16"/>
        </w:rPr>
        <w:t xml:space="preserve"> In discussions with market participants and EONIA Panel Banks, EMMI indicated that redefining EONIA as an overnight </w:t>
      </w:r>
      <w:r w:rsidRPr="00AC3B04">
        <w:rPr>
          <w:i/>
          <w:sz w:val="16"/>
          <w:szCs w:val="16"/>
        </w:rPr>
        <w:t>wholesale borrowing</w:t>
      </w:r>
      <w:r w:rsidRPr="00AC3B04">
        <w:rPr>
          <w:sz w:val="16"/>
          <w:szCs w:val="16"/>
        </w:rPr>
        <w:t xml:space="preserve"> benchmark would most likely allow for a more robust and representative interest rate, with a lower geographical concentration. At that time, the ECB had already indicated their intention to produce an overnight interest rate benchmark which would serve as a backstop for EONIA.</w:t>
      </w:r>
    </w:p>
  </w:footnote>
  <w:footnote w:id="6">
    <w:p w14:paraId="7DAE3DF7" w14:textId="54BCF33F" w:rsidR="00AD7AE1" w:rsidRPr="00C6066A" w:rsidRDefault="00AD7AE1">
      <w:pPr>
        <w:pStyle w:val="FootnoteText"/>
        <w:rPr>
          <w:sz w:val="18"/>
          <w:szCs w:val="18"/>
        </w:rPr>
      </w:pPr>
      <w:r w:rsidRPr="00C6066A">
        <w:rPr>
          <w:rStyle w:val="FootnoteReference"/>
          <w:sz w:val="18"/>
          <w:szCs w:val="18"/>
        </w:rPr>
        <w:footnoteRef/>
      </w:r>
      <w:r w:rsidRPr="00C6066A">
        <w:rPr>
          <w:sz w:val="18"/>
          <w:szCs w:val="18"/>
        </w:rPr>
        <w:t xml:space="preserve"> Following the</w:t>
      </w:r>
      <w:r w:rsidRPr="000B181A">
        <w:rPr>
          <w:color w:val="11689B"/>
          <w:sz w:val="18"/>
          <w:szCs w:val="18"/>
        </w:rPr>
        <w:t xml:space="preserve"> </w:t>
      </w:r>
      <w:hyperlink r:id="rId3" w:history="1">
        <w:r w:rsidRPr="000B181A">
          <w:rPr>
            <w:rStyle w:val="Hyperlink"/>
            <w:rFonts w:ascii="Calibri" w:hAnsi="Calibri"/>
            <w:sz w:val="18"/>
            <w:szCs w:val="18"/>
          </w:rPr>
          <w:t>EMMI Benchmarks Consultation Policy</w:t>
        </w:r>
      </w:hyperlink>
      <w:r w:rsidRPr="00C6066A">
        <w:rPr>
          <w:sz w:val="18"/>
          <w:szCs w:val="18"/>
        </w:rPr>
        <w:t xml:space="preserve"> , EMMI shall address feedback received from stakeholders in a published summary of contributions, anonymized and aggregated when stakeholders have requested anonymity.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0ECE7" w14:textId="77777777" w:rsidR="001B17C8" w:rsidRPr="00950854" w:rsidRDefault="001B17C8" w:rsidP="001B17C8">
    <w:pPr>
      <w:pStyle w:val="Header"/>
      <w:tabs>
        <w:tab w:val="right" w:pos="10064"/>
      </w:tabs>
      <w:spacing w:line="276" w:lineRule="auto"/>
      <w:jc w:val="right"/>
      <w:rPr>
        <w:rFonts w:asciiTheme="minorHAnsi" w:hAnsiTheme="minorHAnsi"/>
        <w:b/>
        <w:sz w:val="16"/>
        <w:szCs w:val="18"/>
      </w:rPr>
    </w:pPr>
    <w:r>
      <w:rPr>
        <w:noProof/>
        <w:lang w:eastAsia="en-US"/>
      </w:rPr>
      <w:drawing>
        <wp:anchor distT="0" distB="0" distL="114300" distR="114300" simplePos="0" relativeHeight="251660799" behindDoc="1" locked="0" layoutInCell="1" allowOverlap="1" wp14:anchorId="00C6A209" wp14:editId="78F6DB71">
          <wp:simplePos x="0" y="0"/>
          <wp:positionH relativeFrom="column">
            <wp:posOffset>5240</wp:posOffset>
          </wp:positionH>
          <wp:positionV relativeFrom="paragraph">
            <wp:posOffset>-2540</wp:posOffset>
          </wp:positionV>
          <wp:extent cx="1277620" cy="730069"/>
          <wp:effectExtent l="0" t="0" r="5080" b="0"/>
          <wp:wrapNone/>
          <wp:docPr id="8" name="Picture 8" descr="E:\SUPPORT FUNCTIONS\Public Communications\Logo\Logo final all files\3 - logos taux\eonia\eonia-HD-RVB-1181x697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UPPORT FUNCTIONS\Public Communications\Logo\Logo final all files\3 - logos taux\eonia\eonia-HD-RVB-1181x697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20" cy="730069"/>
                  </a:xfrm>
                  <a:prstGeom prst="rect">
                    <a:avLst/>
                  </a:prstGeom>
                  <a:noFill/>
                  <a:ln>
                    <a:noFill/>
                  </a:ln>
                </pic:spPr>
              </pic:pic>
            </a:graphicData>
          </a:graphic>
          <wp14:sizeRelH relativeFrom="page">
            <wp14:pctWidth>0</wp14:pctWidth>
          </wp14:sizeRelH>
          <wp14:sizeRelV relativeFrom="page">
            <wp14:pctHeight>0</wp14:pctHeight>
          </wp14:sizeRelV>
        </wp:anchor>
      </w:drawing>
    </w:r>
    <w:r w:rsidR="00A304C2">
      <w:tab/>
    </w:r>
    <w:r w:rsidR="00A304C2" w:rsidRPr="00BA73BE">
      <w:rPr>
        <w:rFonts w:asciiTheme="minorHAnsi" w:hAnsiTheme="minorHAnsi"/>
        <w:b/>
        <w:sz w:val="20"/>
        <w:szCs w:val="18"/>
      </w:rPr>
      <w:t xml:space="preserve"> </w:t>
    </w:r>
    <w:r>
      <w:rPr>
        <w:rFonts w:asciiTheme="minorHAnsi" w:hAnsiTheme="minorHAnsi"/>
        <w:b/>
        <w:sz w:val="16"/>
        <w:szCs w:val="18"/>
      </w:rPr>
      <w:t>Consultation Paper on the Recommendations for EONIA of the Working Group on euro Risk-Free rates</w:t>
    </w:r>
  </w:p>
  <w:p w14:paraId="6E8D4E21" w14:textId="77777777" w:rsidR="001B17C8" w:rsidRPr="0017548B" w:rsidRDefault="001B17C8" w:rsidP="001B17C8">
    <w:pPr>
      <w:pStyle w:val="Header"/>
      <w:tabs>
        <w:tab w:val="clear" w:pos="4536"/>
        <w:tab w:val="clear" w:pos="9072"/>
        <w:tab w:val="right" w:pos="10064"/>
      </w:tabs>
      <w:spacing w:line="276" w:lineRule="auto"/>
      <w:jc w:val="right"/>
      <w:rPr>
        <w:b/>
        <w:color w:val="11689B"/>
        <w:sz w:val="20"/>
      </w:rPr>
    </w:pPr>
    <w:r w:rsidRPr="0017548B">
      <w:rPr>
        <w:rFonts w:asciiTheme="minorHAnsi" w:hAnsiTheme="minorHAnsi"/>
        <w:b/>
        <w:color w:val="11689B"/>
        <w:sz w:val="16"/>
        <w:szCs w:val="18"/>
      </w:rPr>
      <w:t>March 2019</w:t>
    </w:r>
  </w:p>
  <w:p w14:paraId="0AA65EF6" w14:textId="7F4E0ACA" w:rsidR="0067520F" w:rsidRPr="00182007" w:rsidRDefault="0067520F" w:rsidP="001B17C8">
    <w:pPr>
      <w:pStyle w:val="Header"/>
      <w:tabs>
        <w:tab w:val="clear" w:pos="4536"/>
        <w:tab w:val="clear" w:pos="9072"/>
        <w:tab w:val="right" w:pos="10064"/>
      </w:tabs>
      <w:spacing w:line="276" w:lineRule="auto"/>
      <w:rPr>
        <w:b/>
        <w:color w:val="E07925"/>
        <w:sz w:val="20"/>
      </w:rPr>
    </w:pPr>
  </w:p>
  <w:p w14:paraId="06E22040" w14:textId="63EB347D" w:rsidR="00A304C2" w:rsidRPr="00BA73BE" w:rsidRDefault="00A304C2" w:rsidP="0067520F">
    <w:pPr>
      <w:pStyle w:val="Header"/>
      <w:tabs>
        <w:tab w:val="clear" w:pos="4536"/>
        <w:tab w:val="clear" w:pos="9072"/>
        <w:tab w:val="right" w:pos="10064"/>
      </w:tabs>
      <w:rPr>
        <w:rFonts w:asciiTheme="minorHAnsi" w:hAnsiTheme="minorHAnsi"/>
        <w:b/>
        <w:i/>
        <w:sz w:val="20"/>
        <w:szCs w:val="18"/>
      </w:rPr>
    </w:pPr>
  </w:p>
  <w:p w14:paraId="43846978" w14:textId="77777777" w:rsidR="00A304C2" w:rsidRPr="00BA73BE" w:rsidRDefault="00A304C2">
    <w:pPr>
      <w:rPr>
        <w:sz w:val="24"/>
      </w:rPr>
    </w:pPr>
  </w:p>
  <w:p w14:paraId="366A0CAC" w14:textId="77777777" w:rsidR="00A304C2" w:rsidRDefault="00A304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AE3A7" w14:textId="25EF1857" w:rsidR="001B17C8" w:rsidRPr="00950854" w:rsidRDefault="001B17C8" w:rsidP="001B17C8">
    <w:pPr>
      <w:pStyle w:val="Header"/>
      <w:tabs>
        <w:tab w:val="right" w:pos="10064"/>
      </w:tabs>
      <w:spacing w:line="276" w:lineRule="auto"/>
      <w:jc w:val="right"/>
      <w:rPr>
        <w:rFonts w:asciiTheme="minorHAnsi" w:hAnsiTheme="minorHAnsi"/>
        <w:b/>
        <w:sz w:val="16"/>
        <w:szCs w:val="18"/>
      </w:rPr>
    </w:pPr>
    <w:r>
      <w:rPr>
        <w:noProof/>
        <w:lang w:eastAsia="en-US"/>
      </w:rPr>
      <w:drawing>
        <wp:anchor distT="0" distB="0" distL="114300" distR="114300" simplePos="0" relativeHeight="251659774" behindDoc="1" locked="0" layoutInCell="1" allowOverlap="1" wp14:anchorId="5AD94737" wp14:editId="6D0CFA66">
          <wp:simplePos x="0" y="0"/>
          <wp:positionH relativeFrom="column">
            <wp:posOffset>5239</wp:posOffset>
          </wp:positionH>
          <wp:positionV relativeFrom="paragraph">
            <wp:posOffset>-2540</wp:posOffset>
          </wp:positionV>
          <wp:extent cx="1277620" cy="730069"/>
          <wp:effectExtent l="0" t="0" r="5080" b="0"/>
          <wp:wrapNone/>
          <wp:docPr id="9" name="Picture 9" descr="E:\SUPPORT FUNCTIONS\Public Communications\Logo\Logo final all files\3 - logos taux\eonia\eonia-HD-RVB-1181x697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UPPORT FUNCTIONS\Public Communications\Logo\Logo final all files\3 - logos taux\eonia\eonia-HD-RVB-1181x697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20" cy="730069"/>
                  </a:xfrm>
                  <a:prstGeom prst="rect">
                    <a:avLst/>
                  </a:prstGeom>
                  <a:noFill/>
                  <a:ln>
                    <a:noFill/>
                  </a:ln>
                </pic:spPr>
              </pic:pic>
            </a:graphicData>
          </a:graphic>
          <wp14:sizeRelH relativeFrom="page">
            <wp14:pctWidth>0</wp14:pctWidth>
          </wp14:sizeRelH>
          <wp14:sizeRelV relativeFrom="page">
            <wp14:pctHeight>0</wp14:pctHeight>
          </wp14:sizeRelV>
        </wp:anchor>
      </w:drawing>
    </w:r>
    <w:r w:rsidR="00A304C2">
      <w:tab/>
    </w:r>
    <w:r>
      <w:rPr>
        <w:rFonts w:asciiTheme="minorHAnsi" w:hAnsiTheme="minorHAnsi"/>
        <w:b/>
        <w:sz w:val="16"/>
        <w:szCs w:val="18"/>
      </w:rPr>
      <w:t>Consultation Paper on the Recommendations for EONIA of the Working Group on euro Risk-Free rates</w:t>
    </w:r>
  </w:p>
  <w:p w14:paraId="077C5F87" w14:textId="77777777" w:rsidR="001B17C8" w:rsidRPr="0017548B" w:rsidRDefault="001B17C8" w:rsidP="001B17C8">
    <w:pPr>
      <w:pStyle w:val="Header"/>
      <w:tabs>
        <w:tab w:val="clear" w:pos="4536"/>
        <w:tab w:val="clear" w:pos="9072"/>
        <w:tab w:val="right" w:pos="10064"/>
      </w:tabs>
      <w:spacing w:line="276" w:lineRule="auto"/>
      <w:jc w:val="right"/>
      <w:rPr>
        <w:b/>
        <w:color w:val="11689B"/>
        <w:sz w:val="20"/>
      </w:rPr>
    </w:pPr>
    <w:r w:rsidRPr="0017548B">
      <w:rPr>
        <w:rFonts w:asciiTheme="minorHAnsi" w:hAnsiTheme="minorHAnsi"/>
        <w:b/>
        <w:color w:val="11689B"/>
        <w:sz w:val="16"/>
        <w:szCs w:val="18"/>
      </w:rPr>
      <w:t>March 2019</w:t>
    </w:r>
  </w:p>
  <w:p w14:paraId="3FDD2247" w14:textId="3DFB3DB3" w:rsidR="00A304C2" w:rsidRPr="00BA73BE" w:rsidRDefault="00A304C2" w:rsidP="001B17C8">
    <w:pPr>
      <w:pStyle w:val="Header"/>
      <w:tabs>
        <w:tab w:val="clear" w:pos="4536"/>
        <w:tab w:val="clear" w:pos="9072"/>
        <w:tab w:val="right" w:pos="10064"/>
      </w:tabs>
      <w:spacing w:line="276" w:lineRule="auto"/>
      <w:rPr>
        <w:sz w:val="20"/>
      </w:rPr>
    </w:pPr>
  </w:p>
  <w:p w14:paraId="6EDB2132" w14:textId="77777777" w:rsidR="00A304C2" w:rsidRDefault="00A304C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D824C" w14:textId="617B2DAA" w:rsidR="00BA2502" w:rsidRPr="00BA2502" w:rsidRDefault="001B17C8" w:rsidP="00BA2502">
    <w:pPr>
      <w:pStyle w:val="Header"/>
      <w:tabs>
        <w:tab w:val="clear" w:pos="9072"/>
        <w:tab w:val="right" w:pos="9270"/>
      </w:tabs>
      <w:jc w:val="right"/>
      <w:rPr>
        <w:rFonts w:asciiTheme="minorHAnsi" w:hAnsiTheme="minorHAnsi"/>
        <w:b/>
        <w:sz w:val="16"/>
        <w:szCs w:val="18"/>
      </w:rPr>
    </w:pPr>
    <w:r>
      <w:rPr>
        <w:noProof/>
        <w:lang w:eastAsia="en-US"/>
      </w:rPr>
      <w:drawing>
        <wp:anchor distT="0" distB="0" distL="114300" distR="114300" simplePos="0" relativeHeight="251684864" behindDoc="1" locked="0" layoutInCell="1" allowOverlap="1" wp14:anchorId="7B95C345" wp14:editId="30990E03">
          <wp:simplePos x="0" y="0"/>
          <wp:positionH relativeFrom="column">
            <wp:posOffset>0</wp:posOffset>
          </wp:positionH>
          <wp:positionV relativeFrom="paragraph">
            <wp:posOffset>-66675</wp:posOffset>
          </wp:positionV>
          <wp:extent cx="1277620" cy="730069"/>
          <wp:effectExtent l="0" t="0" r="5080" b="0"/>
          <wp:wrapNone/>
          <wp:docPr id="10" name="Picture 10" descr="E:\SUPPORT FUNCTIONS\Public Communications\Logo\Logo final all files\3 - logos taux\eonia\eonia-HD-RVB-1181x697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UPPORT FUNCTIONS\Public Communications\Logo\Logo final all files\3 - logos taux\eonia\eonia-HD-RVB-1181x697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7620" cy="730069"/>
                  </a:xfrm>
                  <a:prstGeom prst="rect">
                    <a:avLst/>
                  </a:prstGeom>
                  <a:noFill/>
                  <a:ln>
                    <a:noFill/>
                  </a:ln>
                </pic:spPr>
              </pic:pic>
            </a:graphicData>
          </a:graphic>
          <wp14:sizeRelH relativeFrom="page">
            <wp14:pctWidth>0</wp14:pctWidth>
          </wp14:sizeRelH>
          <wp14:sizeRelV relativeFrom="page">
            <wp14:pctHeight>0</wp14:pctHeight>
          </wp14:sizeRelV>
        </wp:anchor>
      </w:drawing>
    </w:r>
    <w:r w:rsidR="00BA2502" w:rsidRPr="00BA2502">
      <w:rPr>
        <w:rFonts w:asciiTheme="minorHAnsi" w:hAnsiTheme="minorHAnsi"/>
        <w:b/>
        <w:sz w:val="16"/>
        <w:szCs w:val="18"/>
      </w:rPr>
      <w:t>D</w:t>
    </w:r>
    <w:r w:rsidR="00737449">
      <w:rPr>
        <w:rFonts w:asciiTheme="minorHAnsi" w:hAnsiTheme="minorHAnsi"/>
        <w:b/>
        <w:sz w:val="16"/>
        <w:szCs w:val="18"/>
      </w:rPr>
      <w:t>0116</w:t>
    </w:r>
    <w:r w:rsidR="006335A5">
      <w:rPr>
        <w:rFonts w:asciiTheme="minorHAnsi" w:hAnsiTheme="minorHAnsi"/>
        <w:b/>
        <w:sz w:val="16"/>
        <w:szCs w:val="18"/>
      </w:rPr>
      <w:t>B</w:t>
    </w:r>
    <w:bookmarkStart w:id="0" w:name="_GoBack"/>
    <w:bookmarkEnd w:id="0"/>
    <w:r w:rsidR="00BA2502" w:rsidRPr="00BA2502">
      <w:rPr>
        <w:rFonts w:asciiTheme="minorHAnsi" w:hAnsiTheme="minorHAnsi"/>
        <w:b/>
        <w:sz w:val="16"/>
        <w:szCs w:val="18"/>
      </w:rPr>
      <w:t>-201</w:t>
    </w:r>
    <w:r w:rsidR="00737449">
      <w:rPr>
        <w:rFonts w:asciiTheme="minorHAnsi" w:hAnsiTheme="minorHAnsi"/>
        <w:b/>
        <w:sz w:val="16"/>
        <w:szCs w:val="18"/>
      </w:rPr>
      <w:t>9</w:t>
    </w:r>
  </w:p>
  <w:p w14:paraId="0A6E08FE" w14:textId="4121E5E5" w:rsidR="00A304C2" w:rsidRPr="00BA2502" w:rsidRDefault="00125304" w:rsidP="00E1024C">
    <w:pPr>
      <w:pStyle w:val="Header"/>
      <w:tabs>
        <w:tab w:val="clear" w:pos="9072"/>
        <w:tab w:val="right" w:pos="9270"/>
      </w:tabs>
      <w:jc w:val="right"/>
      <w:rPr>
        <w:rFonts w:asciiTheme="minorHAnsi" w:hAnsiTheme="minorHAnsi"/>
        <w:b/>
        <w:sz w:val="16"/>
        <w:szCs w:val="18"/>
      </w:rPr>
    </w:pPr>
    <w:r w:rsidRPr="00BA2502">
      <w:rPr>
        <w:rFonts w:asciiTheme="minorHAnsi" w:hAnsiTheme="minorHAnsi"/>
        <w:b/>
        <w:sz w:val="16"/>
        <w:szCs w:val="18"/>
      </w:rPr>
      <w:t>AL</w:t>
    </w:r>
  </w:p>
  <w:p w14:paraId="14852EAE" w14:textId="77777777" w:rsidR="00A304C2" w:rsidRPr="004832BF" w:rsidRDefault="00A304C2" w:rsidP="00772C58">
    <w:pPr>
      <w:pStyle w:val="Header"/>
      <w:tabs>
        <w:tab w:val="clear" w:pos="9072"/>
        <w:tab w:val="right" w:pos="9270"/>
      </w:tabs>
      <w:rPr>
        <w:rFonts w:asciiTheme="minorHAnsi" w:hAnsiTheme="minorHAnsi"/>
        <w:b/>
        <w:sz w:val="18"/>
        <w:szCs w:val="18"/>
      </w:rPr>
    </w:pPr>
    <w:r>
      <w:tab/>
    </w:r>
  </w:p>
  <w:p w14:paraId="545C77D1" w14:textId="77777777" w:rsidR="00A304C2" w:rsidRDefault="00A304C2">
    <w:pPr>
      <w:pStyle w:val="Header"/>
    </w:pPr>
  </w:p>
  <w:p w14:paraId="74EC883B" w14:textId="77777777" w:rsidR="00A304C2" w:rsidRDefault="00A304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435BF"/>
    <w:multiLevelType w:val="hybridMultilevel"/>
    <w:tmpl w:val="1EE8177A"/>
    <w:lvl w:ilvl="0" w:tplc="5450DBDE">
      <w:start w:val="1"/>
      <w:numFmt w:val="bullet"/>
      <w:lvlText w:val="›"/>
      <w:lvlJc w:val="left"/>
      <w:pPr>
        <w:ind w:left="1854" w:hanging="360"/>
      </w:pPr>
      <w:rPr>
        <w:rFonts w:ascii="Calibri" w:hAnsi="Calibri"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29EE434F"/>
    <w:multiLevelType w:val="hybridMultilevel"/>
    <w:tmpl w:val="6130F2B8"/>
    <w:lvl w:ilvl="0" w:tplc="454AAD6E">
      <w:start w:val="1"/>
      <w:numFmt w:val="decimal"/>
      <w:pStyle w:val="Heading2"/>
      <w:lvlText w:val="%1"/>
      <w:lvlJc w:val="left"/>
      <w:pPr>
        <w:ind w:left="1146" w:hanging="360"/>
      </w:pPr>
      <w:rPr>
        <w:rFonts w:hint="default"/>
        <w:color w:val="0B6965"/>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2A8972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ACD3508"/>
    <w:multiLevelType w:val="hybridMultilevel"/>
    <w:tmpl w:val="7B06F870"/>
    <w:lvl w:ilvl="0" w:tplc="5450DBDE">
      <w:start w:val="1"/>
      <w:numFmt w:val="bullet"/>
      <w:lvlText w:val="›"/>
      <w:lvlJc w:val="left"/>
      <w:pPr>
        <w:ind w:left="1854" w:hanging="360"/>
      </w:pPr>
      <w:rPr>
        <w:rFonts w:ascii="Calibri" w:hAnsi="Calibri"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2AEC50C2"/>
    <w:multiLevelType w:val="hybridMultilevel"/>
    <w:tmpl w:val="B1B641AE"/>
    <w:lvl w:ilvl="0" w:tplc="1338B982">
      <w:start w:val="1"/>
      <w:numFmt w:val="lowerLetter"/>
      <w:pStyle w:val="Heading3"/>
      <w:lvlText w:val="%1)"/>
      <w:lvlJc w:val="left"/>
      <w:pPr>
        <w:ind w:left="1494" w:hanging="360"/>
      </w:pPr>
      <w:rPr>
        <w:color w:val="0B6965"/>
      </w:rPr>
    </w:lvl>
    <w:lvl w:ilvl="1" w:tplc="080C0019">
      <w:start w:val="1"/>
      <w:numFmt w:val="lowerLetter"/>
      <w:lvlText w:val="%2."/>
      <w:lvlJc w:val="left"/>
      <w:pPr>
        <w:ind w:left="2214" w:hanging="360"/>
      </w:pPr>
    </w:lvl>
    <w:lvl w:ilvl="2" w:tplc="080C001B">
      <w:start w:val="1"/>
      <w:numFmt w:val="lowerRoman"/>
      <w:lvlText w:val="%3."/>
      <w:lvlJc w:val="right"/>
      <w:pPr>
        <w:ind w:left="2934" w:hanging="180"/>
      </w:pPr>
    </w:lvl>
    <w:lvl w:ilvl="3" w:tplc="080C000F" w:tentative="1">
      <w:start w:val="1"/>
      <w:numFmt w:val="decimal"/>
      <w:lvlText w:val="%4."/>
      <w:lvlJc w:val="left"/>
      <w:pPr>
        <w:ind w:left="3654" w:hanging="360"/>
      </w:pPr>
    </w:lvl>
    <w:lvl w:ilvl="4" w:tplc="080C0019" w:tentative="1">
      <w:start w:val="1"/>
      <w:numFmt w:val="lowerLetter"/>
      <w:lvlText w:val="%5."/>
      <w:lvlJc w:val="left"/>
      <w:pPr>
        <w:ind w:left="4374" w:hanging="360"/>
      </w:pPr>
    </w:lvl>
    <w:lvl w:ilvl="5" w:tplc="080C001B" w:tentative="1">
      <w:start w:val="1"/>
      <w:numFmt w:val="lowerRoman"/>
      <w:lvlText w:val="%6."/>
      <w:lvlJc w:val="right"/>
      <w:pPr>
        <w:ind w:left="5094" w:hanging="180"/>
      </w:pPr>
    </w:lvl>
    <w:lvl w:ilvl="6" w:tplc="080C000F" w:tentative="1">
      <w:start w:val="1"/>
      <w:numFmt w:val="decimal"/>
      <w:lvlText w:val="%7."/>
      <w:lvlJc w:val="left"/>
      <w:pPr>
        <w:ind w:left="5814" w:hanging="360"/>
      </w:pPr>
    </w:lvl>
    <w:lvl w:ilvl="7" w:tplc="080C0019" w:tentative="1">
      <w:start w:val="1"/>
      <w:numFmt w:val="lowerLetter"/>
      <w:lvlText w:val="%8."/>
      <w:lvlJc w:val="left"/>
      <w:pPr>
        <w:ind w:left="6534" w:hanging="360"/>
      </w:pPr>
    </w:lvl>
    <w:lvl w:ilvl="8" w:tplc="080C001B" w:tentative="1">
      <w:start w:val="1"/>
      <w:numFmt w:val="lowerRoman"/>
      <w:lvlText w:val="%9."/>
      <w:lvlJc w:val="right"/>
      <w:pPr>
        <w:ind w:left="7254" w:hanging="180"/>
      </w:pPr>
    </w:lvl>
  </w:abstractNum>
  <w:abstractNum w:abstractNumId="5" w15:restartNumberingAfterBreak="0">
    <w:nsid w:val="2EFC48D1"/>
    <w:multiLevelType w:val="hybridMultilevel"/>
    <w:tmpl w:val="62D03D20"/>
    <w:lvl w:ilvl="0" w:tplc="5450DBDE">
      <w:start w:val="1"/>
      <w:numFmt w:val="bullet"/>
      <w:lvlText w:val="›"/>
      <w:lvlJc w:val="left"/>
      <w:pPr>
        <w:ind w:left="1854" w:hanging="360"/>
      </w:pPr>
      <w:rPr>
        <w:rFonts w:ascii="Calibri" w:hAnsi="Calibri"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2FDB19BB"/>
    <w:multiLevelType w:val="hybridMultilevel"/>
    <w:tmpl w:val="C1F68820"/>
    <w:lvl w:ilvl="0" w:tplc="5450DBDE">
      <w:start w:val="1"/>
      <w:numFmt w:val="bullet"/>
      <w:lvlText w:val="›"/>
      <w:lvlJc w:val="left"/>
      <w:pPr>
        <w:ind w:left="1854" w:hanging="360"/>
      </w:pPr>
      <w:rPr>
        <w:rFonts w:ascii="Calibri" w:hAnsi="Calibri" w:hint="default"/>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 w15:restartNumberingAfterBreak="0">
    <w:nsid w:val="32940C29"/>
    <w:multiLevelType w:val="hybridMultilevel"/>
    <w:tmpl w:val="9BEAECF0"/>
    <w:lvl w:ilvl="0" w:tplc="D00ACA3A">
      <w:start w:val="1"/>
      <w:numFmt w:val="lowerRoman"/>
      <w:lvlText w:val="(%1)"/>
      <w:lvlJc w:val="right"/>
      <w:pPr>
        <w:ind w:left="1854" w:hanging="360"/>
      </w:pPr>
      <w:rPr>
        <w:rFonts w:hint="default"/>
        <w:b w:val="0"/>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8" w15:restartNumberingAfterBreak="0">
    <w:nsid w:val="590A1B8E"/>
    <w:multiLevelType w:val="hybridMultilevel"/>
    <w:tmpl w:val="753AC222"/>
    <w:lvl w:ilvl="0" w:tplc="5450DBDE">
      <w:start w:val="1"/>
      <w:numFmt w:val="bullet"/>
      <w:lvlText w:val="›"/>
      <w:lvlJc w:val="left"/>
      <w:pPr>
        <w:ind w:left="1854" w:hanging="360"/>
      </w:pPr>
      <w:rPr>
        <w:rFonts w:ascii="Calibri" w:hAnsi="Calibri"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9" w15:restartNumberingAfterBreak="0">
    <w:nsid w:val="5E716A68"/>
    <w:multiLevelType w:val="hybridMultilevel"/>
    <w:tmpl w:val="CDB893B8"/>
    <w:lvl w:ilvl="0" w:tplc="0409001B">
      <w:start w:val="1"/>
      <w:numFmt w:val="lowerRoman"/>
      <w:lvlText w:val="%1."/>
      <w:lvlJc w:val="righ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5FD8328F"/>
    <w:multiLevelType w:val="hybridMultilevel"/>
    <w:tmpl w:val="A7DE82B8"/>
    <w:lvl w:ilvl="0" w:tplc="D00ACA3A">
      <w:start w:val="1"/>
      <w:numFmt w:val="lowerRoman"/>
      <w:lvlText w:val="(%1)"/>
      <w:lvlJc w:val="right"/>
      <w:pPr>
        <w:ind w:left="1854" w:hanging="360"/>
      </w:pPr>
      <w:rPr>
        <w:rFonts w:hint="default"/>
        <w:b w:val="0"/>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62621649"/>
    <w:multiLevelType w:val="hybridMultilevel"/>
    <w:tmpl w:val="57BC2960"/>
    <w:lvl w:ilvl="0" w:tplc="5450DBDE">
      <w:start w:val="1"/>
      <w:numFmt w:val="bullet"/>
      <w:lvlText w:val="›"/>
      <w:lvlJc w:val="left"/>
      <w:pPr>
        <w:ind w:left="1854" w:hanging="360"/>
      </w:pPr>
      <w:rPr>
        <w:rFonts w:ascii="Calibri" w:hAnsi="Calibri"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73B54ABC"/>
    <w:multiLevelType w:val="hybridMultilevel"/>
    <w:tmpl w:val="AD0E9B18"/>
    <w:lvl w:ilvl="0" w:tplc="04090011">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15:restartNumberingAfterBreak="0">
    <w:nsid w:val="7E3162CF"/>
    <w:multiLevelType w:val="hybridMultilevel"/>
    <w:tmpl w:val="C0ECD9D6"/>
    <w:lvl w:ilvl="0" w:tplc="D00ACA3A">
      <w:start w:val="1"/>
      <w:numFmt w:val="lowerRoman"/>
      <w:lvlText w:val="(%1)"/>
      <w:lvlJc w:val="right"/>
      <w:pPr>
        <w:ind w:left="1858" w:hanging="360"/>
      </w:pPr>
      <w:rPr>
        <w:rFonts w:hint="default"/>
        <w:b w:val="0"/>
      </w:rPr>
    </w:lvl>
    <w:lvl w:ilvl="1" w:tplc="04090003" w:tentative="1">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num w:numId="1">
    <w:abstractNumId w:val="1"/>
  </w:num>
  <w:num w:numId="2">
    <w:abstractNumId w:val="4"/>
  </w:num>
  <w:num w:numId="3">
    <w:abstractNumId w:val="7"/>
  </w:num>
  <w:num w:numId="4">
    <w:abstractNumId w:val="3"/>
  </w:num>
  <w:num w:numId="5">
    <w:abstractNumId w:val="6"/>
  </w:num>
  <w:num w:numId="6">
    <w:abstractNumId w:val="13"/>
  </w:num>
  <w:num w:numId="7">
    <w:abstractNumId w:val="4"/>
    <w:lvlOverride w:ilvl="0">
      <w:startOverride w:val="1"/>
    </w:lvlOverride>
  </w:num>
  <w:num w:numId="8">
    <w:abstractNumId w:val="4"/>
    <w:lvlOverride w:ilvl="0">
      <w:startOverride w:val="1"/>
    </w:lvlOverride>
  </w:num>
  <w:num w:numId="9">
    <w:abstractNumId w:val="9"/>
  </w:num>
  <w:num w:numId="10">
    <w:abstractNumId w:val="5"/>
  </w:num>
  <w:num w:numId="11">
    <w:abstractNumId w:val="11"/>
  </w:num>
  <w:num w:numId="12">
    <w:abstractNumId w:val="12"/>
  </w:num>
  <w:num w:numId="13">
    <w:abstractNumId w:val="10"/>
  </w:num>
  <w:num w:numId="14">
    <w:abstractNumId w:val="2"/>
  </w:num>
  <w:num w:numId="15">
    <w:abstractNumId w:val="8"/>
  </w:num>
  <w:num w:numId="1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attachedTemplate r:id="rId1"/>
  <w:doNotTrackFormatting/>
  <w:documentProtection w:edit="readOnly" w:formatting="1" w:enforcement="0"/>
  <w:defaultTabStop w:val="706"/>
  <w:hyphenationZone w:val="425"/>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FE5"/>
    <w:rsid w:val="00003263"/>
    <w:rsid w:val="000052DB"/>
    <w:rsid w:val="00012B46"/>
    <w:rsid w:val="0001377E"/>
    <w:rsid w:val="000139D0"/>
    <w:rsid w:val="000156CE"/>
    <w:rsid w:val="00016ECC"/>
    <w:rsid w:val="000218B4"/>
    <w:rsid w:val="00021B1A"/>
    <w:rsid w:val="00021FD3"/>
    <w:rsid w:val="00022409"/>
    <w:rsid w:val="00022F0B"/>
    <w:rsid w:val="000239F0"/>
    <w:rsid w:val="0002420F"/>
    <w:rsid w:val="0002467E"/>
    <w:rsid w:val="0002534C"/>
    <w:rsid w:val="00026DDB"/>
    <w:rsid w:val="00027A01"/>
    <w:rsid w:val="0003106A"/>
    <w:rsid w:val="00037DFD"/>
    <w:rsid w:val="00040C85"/>
    <w:rsid w:val="00041A06"/>
    <w:rsid w:val="00041D6E"/>
    <w:rsid w:val="00042369"/>
    <w:rsid w:val="0004262E"/>
    <w:rsid w:val="000437A2"/>
    <w:rsid w:val="00045E81"/>
    <w:rsid w:val="00051297"/>
    <w:rsid w:val="00052239"/>
    <w:rsid w:val="00053E83"/>
    <w:rsid w:val="00056278"/>
    <w:rsid w:val="00060910"/>
    <w:rsid w:val="00060E33"/>
    <w:rsid w:val="0006126A"/>
    <w:rsid w:val="0006163B"/>
    <w:rsid w:val="00061EB2"/>
    <w:rsid w:val="000631E6"/>
    <w:rsid w:val="00063D93"/>
    <w:rsid w:val="00065558"/>
    <w:rsid w:val="00065E0A"/>
    <w:rsid w:val="00065FF1"/>
    <w:rsid w:val="00066F68"/>
    <w:rsid w:val="00073382"/>
    <w:rsid w:val="000735A1"/>
    <w:rsid w:val="00075460"/>
    <w:rsid w:val="000762F3"/>
    <w:rsid w:val="00080420"/>
    <w:rsid w:val="00082373"/>
    <w:rsid w:val="00082E72"/>
    <w:rsid w:val="00083E96"/>
    <w:rsid w:val="00085B6B"/>
    <w:rsid w:val="00086837"/>
    <w:rsid w:val="00091621"/>
    <w:rsid w:val="00092936"/>
    <w:rsid w:val="00094F59"/>
    <w:rsid w:val="000A0EF4"/>
    <w:rsid w:val="000A1A64"/>
    <w:rsid w:val="000A1B7C"/>
    <w:rsid w:val="000A2D34"/>
    <w:rsid w:val="000A4039"/>
    <w:rsid w:val="000A40A4"/>
    <w:rsid w:val="000A53D1"/>
    <w:rsid w:val="000A5718"/>
    <w:rsid w:val="000A5B54"/>
    <w:rsid w:val="000A7141"/>
    <w:rsid w:val="000A78AA"/>
    <w:rsid w:val="000B067B"/>
    <w:rsid w:val="000B0E30"/>
    <w:rsid w:val="000B181A"/>
    <w:rsid w:val="000B3C88"/>
    <w:rsid w:val="000B42EE"/>
    <w:rsid w:val="000B596E"/>
    <w:rsid w:val="000C141C"/>
    <w:rsid w:val="000C2DCE"/>
    <w:rsid w:val="000C331B"/>
    <w:rsid w:val="000C533E"/>
    <w:rsid w:val="000C57D9"/>
    <w:rsid w:val="000C5C2B"/>
    <w:rsid w:val="000C5E06"/>
    <w:rsid w:val="000D2B6D"/>
    <w:rsid w:val="000D36AF"/>
    <w:rsid w:val="000D58EB"/>
    <w:rsid w:val="000D5B43"/>
    <w:rsid w:val="000E3381"/>
    <w:rsid w:val="000E7A1D"/>
    <w:rsid w:val="000F02B9"/>
    <w:rsid w:val="000F06BC"/>
    <w:rsid w:val="000F0770"/>
    <w:rsid w:val="000F310E"/>
    <w:rsid w:val="000F4DA0"/>
    <w:rsid w:val="000F658B"/>
    <w:rsid w:val="000F78CE"/>
    <w:rsid w:val="000F7AC9"/>
    <w:rsid w:val="0010207A"/>
    <w:rsid w:val="00103031"/>
    <w:rsid w:val="00105A81"/>
    <w:rsid w:val="001064FF"/>
    <w:rsid w:val="00107131"/>
    <w:rsid w:val="001072D8"/>
    <w:rsid w:val="00110A50"/>
    <w:rsid w:val="00111E64"/>
    <w:rsid w:val="001122E8"/>
    <w:rsid w:val="00112DC3"/>
    <w:rsid w:val="001166CF"/>
    <w:rsid w:val="001202A5"/>
    <w:rsid w:val="0012068D"/>
    <w:rsid w:val="00121627"/>
    <w:rsid w:val="0012291F"/>
    <w:rsid w:val="00125304"/>
    <w:rsid w:val="00125A7D"/>
    <w:rsid w:val="001265FD"/>
    <w:rsid w:val="00126855"/>
    <w:rsid w:val="00127865"/>
    <w:rsid w:val="00131279"/>
    <w:rsid w:val="00131CDF"/>
    <w:rsid w:val="0013239D"/>
    <w:rsid w:val="00133D50"/>
    <w:rsid w:val="001362B2"/>
    <w:rsid w:val="00136573"/>
    <w:rsid w:val="001402D8"/>
    <w:rsid w:val="0014033B"/>
    <w:rsid w:val="001403A9"/>
    <w:rsid w:val="001422C1"/>
    <w:rsid w:val="001427DB"/>
    <w:rsid w:val="00143080"/>
    <w:rsid w:val="00143296"/>
    <w:rsid w:val="00144030"/>
    <w:rsid w:val="001440DB"/>
    <w:rsid w:val="0014508E"/>
    <w:rsid w:val="00145DB5"/>
    <w:rsid w:val="00145EA9"/>
    <w:rsid w:val="00146376"/>
    <w:rsid w:val="00150D07"/>
    <w:rsid w:val="0015259D"/>
    <w:rsid w:val="001536A3"/>
    <w:rsid w:val="00153B0B"/>
    <w:rsid w:val="00154B70"/>
    <w:rsid w:val="001555CA"/>
    <w:rsid w:val="00155C96"/>
    <w:rsid w:val="00163E8F"/>
    <w:rsid w:val="00164E2E"/>
    <w:rsid w:val="00167651"/>
    <w:rsid w:val="00170B66"/>
    <w:rsid w:val="001812CA"/>
    <w:rsid w:val="00181990"/>
    <w:rsid w:val="00181AE3"/>
    <w:rsid w:val="0018200C"/>
    <w:rsid w:val="0018201F"/>
    <w:rsid w:val="00182095"/>
    <w:rsid w:val="00187C01"/>
    <w:rsid w:val="00191254"/>
    <w:rsid w:val="00191E5E"/>
    <w:rsid w:val="00193716"/>
    <w:rsid w:val="001943DE"/>
    <w:rsid w:val="0019536A"/>
    <w:rsid w:val="00195563"/>
    <w:rsid w:val="00197BFA"/>
    <w:rsid w:val="001A298F"/>
    <w:rsid w:val="001A2997"/>
    <w:rsid w:val="001A3326"/>
    <w:rsid w:val="001A42AB"/>
    <w:rsid w:val="001A7BBE"/>
    <w:rsid w:val="001B0D37"/>
    <w:rsid w:val="001B17C8"/>
    <w:rsid w:val="001B1A93"/>
    <w:rsid w:val="001B1DDF"/>
    <w:rsid w:val="001B552E"/>
    <w:rsid w:val="001B55CC"/>
    <w:rsid w:val="001B5F56"/>
    <w:rsid w:val="001B7898"/>
    <w:rsid w:val="001B7EA4"/>
    <w:rsid w:val="001C1C6A"/>
    <w:rsid w:val="001C2985"/>
    <w:rsid w:val="001C2EEE"/>
    <w:rsid w:val="001C30E0"/>
    <w:rsid w:val="001C38E4"/>
    <w:rsid w:val="001C3DF4"/>
    <w:rsid w:val="001C459C"/>
    <w:rsid w:val="001C4B48"/>
    <w:rsid w:val="001C4D78"/>
    <w:rsid w:val="001C6469"/>
    <w:rsid w:val="001D5DAC"/>
    <w:rsid w:val="001E148F"/>
    <w:rsid w:val="001E5859"/>
    <w:rsid w:val="001E597D"/>
    <w:rsid w:val="001E5A09"/>
    <w:rsid w:val="001E6045"/>
    <w:rsid w:val="001E706A"/>
    <w:rsid w:val="001F2D29"/>
    <w:rsid w:val="001F4D31"/>
    <w:rsid w:val="001F4D9B"/>
    <w:rsid w:val="001F54CE"/>
    <w:rsid w:val="001F752B"/>
    <w:rsid w:val="00200071"/>
    <w:rsid w:val="0020043A"/>
    <w:rsid w:val="00202A66"/>
    <w:rsid w:val="00204349"/>
    <w:rsid w:val="00204BAE"/>
    <w:rsid w:val="00205FD3"/>
    <w:rsid w:val="00207968"/>
    <w:rsid w:val="00207CAA"/>
    <w:rsid w:val="00211F54"/>
    <w:rsid w:val="002145DE"/>
    <w:rsid w:val="00214866"/>
    <w:rsid w:val="002160AF"/>
    <w:rsid w:val="00216149"/>
    <w:rsid w:val="00216221"/>
    <w:rsid w:val="00216300"/>
    <w:rsid w:val="002168E7"/>
    <w:rsid w:val="0022049E"/>
    <w:rsid w:val="00222D9A"/>
    <w:rsid w:val="0022715B"/>
    <w:rsid w:val="00227A8E"/>
    <w:rsid w:val="002301F5"/>
    <w:rsid w:val="002303A0"/>
    <w:rsid w:val="00233382"/>
    <w:rsid w:val="0023464B"/>
    <w:rsid w:val="00234802"/>
    <w:rsid w:val="0023733C"/>
    <w:rsid w:val="00237CEA"/>
    <w:rsid w:val="002405EC"/>
    <w:rsid w:val="00241349"/>
    <w:rsid w:val="00241F29"/>
    <w:rsid w:val="0024270B"/>
    <w:rsid w:val="00245440"/>
    <w:rsid w:val="00246CBE"/>
    <w:rsid w:val="00246FD2"/>
    <w:rsid w:val="002502CA"/>
    <w:rsid w:val="00250F9C"/>
    <w:rsid w:val="00252A9E"/>
    <w:rsid w:val="00254D10"/>
    <w:rsid w:val="00255075"/>
    <w:rsid w:val="0025655B"/>
    <w:rsid w:val="00257240"/>
    <w:rsid w:val="002624FF"/>
    <w:rsid w:val="00264113"/>
    <w:rsid w:val="00275DC6"/>
    <w:rsid w:val="002760A0"/>
    <w:rsid w:val="00277DB5"/>
    <w:rsid w:val="00280F75"/>
    <w:rsid w:val="002826DC"/>
    <w:rsid w:val="0028318A"/>
    <w:rsid w:val="00284807"/>
    <w:rsid w:val="00285605"/>
    <w:rsid w:val="00290C4B"/>
    <w:rsid w:val="00293471"/>
    <w:rsid w:val="002937BC"/>
    <w:rsid w:val="00294B1E"/>
    <w:rsid w:val="0029748E"/>
    <w:rsid w:val="002A1A74"/>
    <w:rsid w:val="002A3DDD"/>
    <w:rsid w:val="002A6207"/>
    <w:rsid w:val="002A687A"/>
    <w:rsid w:val="002A6DF0"/>
    <w:rsid w:val="002B0E79"/>
    <w:rsid w:val="002B12DD"/>
    <w:rsid w:val="002B4BB1"/>
    <w:rsid w:val="002C049D"/>
    <w:rsid w:val="002C3AD7"/>
    <w:rsid w:val="002C73DD"/>
    <w:rsid w:val="002D2D4F"/>
    <w:rsid w:val="002D33C3"/>
    <w:rsid w:val="002D4930"/>
    <w:rsid w:val="002D4AB6"/>
    <w:rsid w:val="002D5016"/>
    <w:rsid w:val="002D5433"/>
    <w:rsid w:val="002E15D7"/>
    <w:rsid w:val="002E64AB"/>
    <w:rsid w:val="002F0F5F"/>
    <w:rsid w:val="002F3546"/>
    <w:rsid w:val="002F4549"/>
    <w:rsid w:val="002F717E"/>
    <w:rsid w:val="003014CA"/>
    <w:rsid w:val="003021A5"/>
    <w:rsid w:val="00307C9D"/>
    <w:rsid w:val="0031196E"/>
    <w:rsid w:val="003130E3"/>
    <w:rsid w:val="00313468"/>
    <w:rsid w:val="00313702"/>
    <w:rsid w:val="00315D7A"/>
    <w:rsid w:val="003171DC"/>
    <w:rsid w:val="003174ED"/>
    <w:rsid w:val="0032367A"/>
    <w:rsid w:val="00324BAC"/>
    <w:rsid w:val="003270F2"/>
    <w:rsid w:val="00335AFB"/>
    <w:rsid w:val="00336683"/>
    <w:rsid w:val="003406B3"/>
    <w:rsid w:val="00340FAC"/>
    <w:rsid w:val="0034283A"/>
    <w:rsid w:val="0034694F"/>
    <w:rsid w:val="00347670"/>
    <w:rsid w:val="003476EC"/>
    <w:rsid w:val="00347B62"/>
    <w:rsid w:val="00351195"/>
    <w:rsid w:val="00352A8C"/>
    <w:rsid w:val="00353FD3"/>
    <w:rsid w:val="00354514"/>
    <w:rsid w:val="003545B7"/>
    <w:rsid w:val="00354848"/>
    <w:rsid w:val="00355F23"/>
    <w:rsid w:val="003615F2"/>
    <w:rsid w:val="00361B62"/>
    <w:rsid w:val="00364AB8"/>
    <w:rsid w:val="00365AC7"/>
    <w:rsid w:val="003663B4"/>
    <w:rsid w:val="00372D06"/>
    <w:rsid w:val="00375D89"/>
    <w:rsid w:val="00377005"/>
    <w:rsid w:val="00382D01"/>
    <w:rsid w:val="003839A4"/>
    <w:rsid w:val="00384892"/>
    <w:rsid w:val="00385435"/>
    <w:rsid w:val="0038603A"/>
    <w:rsid w:val="00393AD4"/>
    <w:rsid w:val="00394C28"/>
    <w:rsid w:val="003968C3"/>
    <w:rsid w:val="00396CE3"/>
    <w:rsid w:val="003973F3"/>
    <w:rsid w:val="00397461"/>
    <w:rsid w:val="003A19F9"/>
    <w:rsid w:val="003A4C2A"/>
    <w:rsid w:val="003B10C8"/>
    <w:rsid w:val="003B7771"/>
    <w:rsid w:val="003C25A7"/>
    <w:rsid w:val="003C2C08"/>
    <w:rsid w:val="003C3CF3"/>
    <w:rsid w:val="003C4C11"/>
    <w:rsid w:val="003D0898"/>
    <w:rsid w:val="003D16BE"/>
    <w:rsid w:val="003D42C6"/>
    <w:rsid w:val="003D5795"/>
    <w:rsid w:val="003D7239"/>
    <w:rsid w:val="003D7C67"/>
    <w:rsid w:val="003E1777"/>
    <w:rsid w:val="003E2AD9"/>
    <w:rsid w:val="003E36B7"/>
    <w:rsid w:val="003E3F63"/>
    <w:rsid w:val="003E532D"/>
    <w:rsid w:val="003E580F"/>
    <w:rsid w:val="003E6E7A"/>
    <w:rsid w:val="003E6FAD"/>
    <w:rsid w:val="003F4EFA"/>
    <w:rsid w:val="003F6762"/>
    <w:rsid w:val="003F75C3"/>
    <w:rsid w:val="00400118"/>
    <w:rsid w:val="0040060C"/>
    <w:rsid w:val="004042BE"/>
    <w:rsid w:val="00405124"/>
    <w:rsid w:val="00405CA6"/>
    <w:rsid w:val="00406398"/>
    <w:rsid w:val="00406DF2"/>
    <w:rsid w:val="0041049F"/>
    <w:rsid w:val="004120BD"/>
    <w:rsid w:val="0041220F"/>
    <w:rsid w:val="00412570"/>
    <w:rsid w:val="00413680"/>
    <w:rsid w:val="0041450D"/>
    <w:rsid w:val="004147D8"/>
    <w:rsid w:val="00414A97"/>
    <w:rsid w:val="00420F05"/>
    <w:rsid w:val="00424D7E"/>
    <w:rsid w:val="00426A9D"/>
    <w:rsid w:val="00426B28"/>
    <w:rsid w:val="0042799B"/>
    <w:rsid w:val="0043114A"/>
    <w:rsid w:val="004318CB"/>
    <w:rsid w:val="004338AC"/>
    <w:rsid w:val="00435376"/>
    <w:rsid w:val="0043740B"/>
    <w:rsid w:val="004375B5"/>
    <w:rsid w:val="00441EE5"/>
    <w:rsid w:val="004424D8"/>
    <w:rsid w:val="004456D9"/>
    <w:rsid w:val="00446515"/>
    <w:rsid w:val="00446B0F"/>
    <w:rsid w:val="00450E0D"/>
    <w:rsid w:val="0045192B"/>
    <w:rsid w:val="00451E27"/>
    <w:rsid w:val="00452988"/>
    <w:rsid w:val="00453F08"/>
    <w:rsid w:val="00454D03"/>
    <w:rsid w:val="004561CC"/>
    <w:rsid w:val="00461223"/>
    <w:rsid w:val="0046133E"/>
    <w:rsid w:val="004631FC"/>
    <w:rsid w:val="00465D46"/>
    <w:rsid w:val="00467832"/>
    <w:rsid w:val="00470E64"/>
    <w:rsid w:val="004710AC"/>
    <w:rsid w:val="004710CA"/>
    <w:rsid w:val="0048061A"/>
    <w:rsid w:val="00482EEC"/>
    <w:rsid w:val="004832BF"/>
    <w:rsid w:val="00485B8F"/>
    <w:rsid w:val="004908E6"/>
    <w:rsid w:val="004930EA"/>
    <w:rsid w:val="00495371"/>
    <w:rsid w:val="004956BE"/>
    <w:rsid w:val="004957F0"/>
    <w:rsid w:val="0049734D"/>
    <w:rsid w:val="004A1966"/>
    <w:rsid w:val="004A1A70"/>
    <w:rsid w:val="004A433C"/>
    <w:rsid w:val="004A4999"/>
    <w:rsid w:val="004A4A47"/>
    <w:rsid w:val="004A5B27"/>
    <w:rsid w:val="004B19F4"/>
    <w:rsid w:val="004B2BCE"/>
    <w:rsid w:val="004B5BE7"/>
    <w:rsid w:val="004B656B"/>
    <w:rsid w:val="004B72BF"/>
    <w:rsid w:val="004C169E"/>
    <w:rsid w:val="004C1702"/>
    <w:rsid w:val="004C30D0"/>
    <w:rsid w:val="004C5ED9"/>
    <w:rsid w:val="004D1A2E"/>
    <w:rsid w:val="004D2C38"/>
    <w:rsid w:val="004D2F83"/>
    <w:rsid w:val="004D4C94"/>
    <w:rsid w:val="004D4D46"/>
    <w:rsid w:val="004E19B1"/>
    <w:rsid w:val="004E1BF8"/>
    <w:rsid w:val="004E4957"/>
    <w:rsid w:val="004E62AE"/>
    <w:rsid w:val="004E7284"/>
    <w:rsid w:val="004F1C03"/>
    <w:rsid w:val="004F5B77"/>
    <w:rsid w:val="004F5C53"/>
    <w:rsid w:val="004F7028"/>
    <w:rsid w:val="00503A6E"/>
    <w:rsid w:val="005044C6"/>
    <w:rsid w:val="0050467D"/>
    <w:rsid w:val="005069E0"/>
    <w:rsid w:val="00506F42"/>
    <w:rsid w:val="00507892"/>
    <w:rsid w:val="00510CD1"/>
    <w:rsid w:val="00511CEF"/>
    <w:rsid w:val="005128B0"/>
    <w:rsid w:val="0051379B"/>
    <w:rsid w:val="00513BE8"/>
    <w:rsid w:val="00514217"/>
    <w:rsid w:val="00514CB5"/>
    <w:rsid w:val="0051505B"/>
    <w:rsid w:val="005225D4"/>
    <w:rsid w:val="00523CD0"/>
    <w:rsid w:val="00530602"/>
    <w:rsid w:val="0053111C"/>
    <w:rsid w:val="005319E1"/>
    <w:rsid w:val="00532382"/>
    <w:rsid w:val="00532BE3"/>
    <w:rsid w:val="005342A3"/>
    <w:rsid w:val="00535329"/>
    <w:rsid w:val="00536528"/>
    <w:rsid w:val="00536581"/>
    <w:rsid w:val="00536814"/>
    <w:rsid w:val="005368F9"/>
    <w:rsid w:val="00537E00"/>
    <w:rsid w:val="00540364"/>
    <w:rsid w:val="005418D6"/>
    <w:rsid w:val="0054239F"/>
    <w:rsid w:val="00543255"/>
    <w:rsid w:val="005450C4"/>
    <w:rsid w:val="00545C1C"/>
    <w:rsid w:val="00552FFF"/>
    <w:rsid w:val="005545DE"/>
    <w:rsid w:val="0056221D"/>
    <w:rsid w:val="005643B4"/>
    <w:rsid w:val="00564A63"/>
    <w:rsid w:val="00565967"/>
    <w:rsid w:val="005661F4"/>
    <w:rsid w:val="00571619"/>
    <w:rsid w:val="00571747"/>
    <w:rsid w:val="0057539F"/>
    <w:rsid w:val="00575493"/>
    <w:rsid w:val="00583EDA"/>
    <w:rsid w:val="0059004A"/>
    <w:rsid w:val="0059016D"/>
    <w:rsid w:val="005916CE"/>
    <w:rsid w:val="00591FA5"/>
    <w:rsid w:val="00592AFE"/>
    <w:rsid w:val="0059321E"/>
    <w:rsid w:val="00595499"/>
    <w:rsid w:val="00595957"/>
    <w:rsid w:val="005A0DC3"/>
    <w:rsid w:val="005A1744"/>
    <w:rsid w:val="005A1D86"/>
    <w:rsid w:val="005A372B"/>
    <w:rsid w:val="005B07D8"/>
    <w:rsid w:val="005B1A5F"/>
    <w:rsid w:val="005B3407"/>
    <w:rsid w:val="005B43CC"/>
    <w:rsid w:val="005B4E9F"/>
    <w:rsid w:val="005B7157"/>
    <w:rsid w:val="005C0D72"/>
    <w:rsid w:val="005C1F8D"/>
    <w:rsid w:val="005C2168"/>
    <w:rsid w:val="005C2C31"/>
    <w:rsid w:val="005C4B63"/>
    <w:rsid w:val="005C5134"/>
    <w:rsid w:val="005C541E"/>
    <w:rsid w:val="005C601A"/>
    <w:rsid w:val="005D3FF1"/>
    <w:rsid w:val="005E15D2"/>
    <w:rsid w:val="005E30A6"/>
    <w:rsid w:val="005F181E"/>
    <w:rsid w:val="005F184E"/>
    <w:rsid w:val="005F3154"/>
    <w:rsid w:val="005F3476"/>
    <w:rsid w:val="005F3C2E"/>
    <w:rsid w:val="005F5E60"/>
    <w:rsid w:val="005F7090"/>
    <w:rsid w:val="006017A0"/>
    <w:rsid w:val="00601DD4"/>
    <w:rsid w:val="00601F0A"/>
    <w:rsid w:val="006021CF"/>
    <w:rsid w:val="00605796"/>
    <w:rsid w:val="00605E54"/>
    <w:rsid w:val="006127C3"/>
    <w:rsid w:val="006130DF"/>
    <w:rsid w:val="00613317"/>
    <w:rsid w:val="006160F6"/>
    <w:rsid w:val="00621ACB"/>
    <w:rsid w:val="00623B44"/>
    <w:rsid w:val="006255F3"/>
    <w:rsid w:val="006271C0"/>
    <w:rsid w:val="0062741B"/>
    <w:rsid w:val="006318C4"/>
    <w:rsid w:val="006335A5"/>
    <w:rsid w:val="00633836"/>
    <w:rsid w:val="0063544E"/>
    <w:rsid w:val="00635959"/>
    <w:rsid w:val="00636E32"/>
    <w:rsid w:val="00637D47"/>
    <w:rsid w:val="00640147"/>
    <w:rsid w:val="00642670"/>
    <w:rsid w:val="0064283F"/>
    <w:rsid w:val="006437A0"/>
    <w:rsid w:val="00645D79"/>
    <w:rsid w:val="00647810"/>
    <w:rsid w:val="00650849"/>
    <w:rsid w:val="00651B5A"/>
    <w:rsid w:val="006523FB"/>
    <w:rsid w:val="0065252C"/>
    <w:rsid w:val="0065420B"/>
    <w:rsid w:val="00657596"/>
    <w:rsid w:val="00660757"/>
    <w:rsid w:val="00660E75"/>
    <w:rsid w:val="006619CA"/>
    <w:rsid w:val="00663B9F"/>
    <w:rsid w:val="00670FBB"/>
    <w:rsid w:val="006716B3"/>
    <w:rsid w:val="0067372D"/>
    <w:rsid w:val="0067520F"/>
    <w:rsid w:val="00676415"/>
    <w:rsid w:val="006836F5"/>
    <w:rsid w:val="00684251"/>
    <w:rsid w:val="00684A7D"/>
    <w:rsid w:val="00686399"/>
    <w:rsid w:val="0068707D"/>
    <w:rsid w:val="0069085D"/>
    <w:rsid w:val="00694E7B"/>
    <w:rsid w:val="006950CD"/>
    <w:rsid w:val="0069542B"/>
    <w:rsid w:val="00695513"/>
    <w:rsid w:val="006968FA"/>
    <w:rsid w:val="00697ABD"/>
    <w:rsid w:val="006A0BE6"/>
    <w:rsid w:val="006A20C2"/>
    <w:rsid w:val="006A6BAD"/>
    <w:rsid w:val="006B1B18"/>
    <w:rsid w:val="006B3061"/>
    <w:rsid w:val="006B52A8"/>
    <w:rsid w:val="006B665D"/>
    <w:rsid w:val="006C07B9"/>
    <w:rsid w:val="006C1B9C"/>
    <w:rsid w:val="006C1F38"/>
    <w:rsid w:val="006C3337"/>
    <w:rsid w:val="006C48B4"/>
    <w:rsid w:val="006C5E03"/>
    <w:rsid w:val="006C6821"/>
    <w:rsid w:val="006C705F"/>
    <w:rsid w:val="006D0B60"/>
    <w:rsid w:val="006D31EF"/>
    <w:rsid w:val="006D3A17"/>
    <w:rsid w:val="006D40A3"/>
    <w:rsid w:val="006D683E"/>
    <w:rsid w:val="006E255E"/>
    <w:rsid w:val="006E2FA4"/>
    <w:rsid w:val="006E7634"/>
    <w:rsid w:val="006F1711"/>
    <w:rsid w:val="006F2253"/>
    <w:rsid w:val="006F4279"/>
    <w:rsid w:val="006F4A1E"/>
    <w:rsid w:val="006F62FF"/>
    <w:rsid w:val="006F63CF"/>
    <w:rsid w:val="006F6C04"/>
    <w:rsid w:val="006F6E1D"/>
    <w:rsid w:val="006F7505"/>
    <w:rsid w:val="006F7AAC"/>
    <w:rsid w:val="00700FC8"/>
    <w:rsid w:val="00704BBC"/>
    <w:rsid w:val="00706717"/>
    <w:rsid w:val="007108A8"/>
    <w:rsid w:val="0071157D"/>
    <w:rsid w:val="00712F21"/>
    <w:rsid w:val="0071363F"/>
    <w:rsid w:val="00713A6E"/>
    <w:rsid w:val="00714676"/>
    <w:rsid w:val="00716317"/>
    <w:rsid w:val="007175A6"/>
    <w:rsid w:val="007227C2"/>
    <w:rsid w:val="007261D2"/>
    <w:rsid w:val="00730E32"/>
    <w:rsid w:val="0073464B"/>
    <w:rsid w:val="00735961"/>
    <w:rsid w:val="00737449"/>
    <w:rsid w:val="0073751C"/>
    <w:rsid w:val="0073786F"/>
    <w:rsid w:val="00741EE5"/>
    <w:rsid w:val="00742558"/>
    <w:rsid w:val="00743F30"/>
    <w:rsid w:val="00746058"/>
    <w:rsid w:val="007471C0"/>
    <w:rsid w:val="0074745C"/>
    <w:rsid w:val="00747E46"/>
    <w:rsid w:val="00751373"/>
    <w:rsid w:val="0075317A"/>
    <w:rsid w:val="00756A09"/>
    <w:rsid w:val="007623AE"/>
    <w:rsid w:val="00763F97"/>
    <w:rsid w:val="00766BC0"/>
    <w:rsid w:val="00771A1F"/>
    <w:rsid w:val="00772C58"/>
    <w:rsid w:val="00775F0B"/>
    <w:rsid w:val="00781374"/>
    <w:rsid w:val="00782127"/>
    <w:rsid w:val="00782671"/>
    <w:rsid w:val="00782B9C"/>
    <w:rsid w:val="00783162"/>
    <w:rsid w:val="00784465"/>
    <w:rsid w:val="0078673F"/>
    <w:rsid w:val="00790870"/>
    <w:rsid w:val="00792159"/>
    <w:rsid w:val="0079318A"/>
    <w:rsid w:val="00794F29"/>
    <w:rsid w:val="00794F96"/>
    <w:rsid w:val="00797E55"/>
    <w:rsid w:val="007A059E"/>
    <w:rsid w:val="007A1286"/>
    <w:rsid w:val="007A293B"/>
    <w:rsid w:val="007A3B9E"/>
    <w:rsid w:val="007A4601"/>
    <w:rsid w:val="007A5A52"/>
    <w:rsid w:val="007A7FE1"/>
    <w:rsid w:val="007B0EEC"/>
    <w:rsid w:val="007B1448"/>
    <w:rsid w:val="007B1B3E"/>
    <w:rsid w:val="007B6F31"/>
    <w:rsid w:val="007B7ACD"/>
    <w:rsid w:val="007C1118"/>
    <w:rsid w:val="007C337C"/>
    <w:rsid w:val="007D1136"/>
    <w:rsid w:val="007D35A1"/>
    <w:rsid w:val="007D41AD"/>
    <w:rsid w:val="007E394C"/>
    <w:rsid w:val="007E3F67"/>
    <w:rsid w:val="007E4EA4"/>
    <w:rsid w:val="007E52EB"/>
    <w:rsid w:val="007E723A"/>
    <w:rsid w:val="007F08DC"/>
    <w:rsid w:val="007F5161"/>
    <w:rsid w:val="007F632F"/>
    <w:rsid w:val="007F75CF"/>
    <w:rsid w:val="00800DC9"/>
    <w:rsid w:val="00802461"/>
    <w:rsid w:val="0080369D"/>
    <w:rsid w:val="00806F95"/>
    <w:rsid w:val="00807442"/>
    <w:rsid w:val="00807E23"/>
    <w:rsid w:val="008106BB"/>
    <w:rsid w:val="00811741"/>
    <w:rsid w:val="00811796"/>
    <w:rsid w:val="00816A45"/>
    <w:rsid w:val="008202B6"/>
    <w:rsid w:val="00831385"/>
    <w:rsid w:val="00831F1C"/>
    <w:rsid w:val="00834008"/>
    <w:rsid w:val="00834578"/>
    <w:rsid w:val="00834653"/>
    <w:rsid w:val="00834C8E"/>
    <w:rsid w:val="008353FA"/>
    <w:rsid w:val="00837FAE"/>
    <w:rsid w:val="008434D1"/>
    <w:rsid w:val="00843A7D"/>
    <w:rsid w:val="00844976"/>
    <w:rsid w:val="008453C0"/>
    <w:rsid w:val="00847D5F"/>
    <w:rsid w:val="00852CFF"/>
    <w:rsid w:val="008540D4"/>
    <w:rsid w:val="00855631"/>
    <w:rsid w:val="00856EE1"/>
    <w:rsid w:val="00861881"/>
    <w:rsid w:val="008628ED"/>
    <w:rsid w:val="00862FA5"/>
    <w:rsid w:val="00864345"/>
    <w:rsid w:val="00864D82"/>
    <w:rsid w:val="00865DC2"/>
    <w:rsid w:val="0086786A"/>
    <w:rsid w:val="00867B90"/>
    <w:rsid w:val="00867CBC"/>
    <w:rsid w:val="00871FBD"/>
    <w:rsid w:val="0087274B"/>
    <w:rsid w:val="00873693"/>
    <w:rsid w:val="008738DA"/>
    <w:rsid w:val="008741D3"/>
    <w:rsid w:val="008744D3"/>
    <w:rsid w:val="00876255"/>
    <w:rsid w:val="008767A2"/>
    <w:rsid w:val="00881215"/>
    <w:rsid w:val="00884C35"/>
    <w:rsid w:val="0088526B"/>
    <w:rsid w:val="008873EE"/>
    <w:rsid w:val="00892628"/>
    <w:rsid w:val="00892664"/>
    <w:rsid w:val="008961E0"/>
    <w:rsid w:val="00896344"/>
    <w:rsid w:val="008965B1"/>
    <w:rsid w:val="00897819"/>
    <w:rsid w:val="008A40DB"/>
    <w:rsid w:val="008A6A4C"/>
    <w:rsid w:val="008B1C17"/>
    <w:rsid w:val="008B1F2F"/>
    <w:rsid w:val="008B2044"/>
    <w:rsid w:val="008B5D19"/>
    <w:rsid w:val="008B666A"/>
    <w:rsid w:val="008B6B03"/>
    <w:rsid w:val="008C0615"/>
    <w:rsid w:val="008C365F"/>
    <w:rsid w:val="008C4591"/>
    <w:rsid w:val="008C4992"/>
    <w:rsid w:val="008C6342"/>
    <w:rsid w:val="008C6B72"/>
    <w:rsid w:val="008D1B2C"/>
    <w:rsid w:val="008D5830"/>
    <w:rsid w:val="008D67B2"/>
    <w:rsid w:val="008E146C"/>
    <w:rsid w:val="008E1BF3"/>
    <w:rsid w:val="008E2CA6"/>
    <w:rsid w:val="008E2CAE"/>
    <w:rsid w:val="008E301A"/>
    <w:rsid w:val="008E49DF"/>
    <w:rsid w:val="008E6A7A"/>
    <w:rsid w:val="008E713C"/>
    <w:rsid w:val="008F66C5"/>
    <w:rsid w:val="00901263"/>
    <w:rsid w:val="00904D35"/>
    <w:rsid w:val="0090525B"/>
    <w:rsid w:val="00906ECA"/>
    <w:rsid w:val="00912607"/>
    <w:rsid w:val="00913F7F"/>
    <w:rsid w:val="00915EEA"/>
    <w:rsid w:val="009161F2"/>
    <w:rsid w:val="009210E6"/>
    <w:rsid w:val="009220B2"/>
    <w:rsid w:val="009222DA"/>
    <w:rsid w:val="00922CFF"/>
    <w:rsid w:val="009244DB"/>
    <w:rsid w:val="0092565B"/>
    <w:rsid w:val="0092636C"/>
    <w:rsid w:val="009318D7"/>
    <w:rsid w:val="00932C00"/>
    <w:rsid w:val="00933388"/>
    <w:rsid w:val="00933ECD"/>
    <w:rsid w:val="00934802"/>
    <w:rsid w:val="00934FB8"/>
    <w:rsid w:val="00937D03"/>
    <w:rsid w:val="00937FE1"/>
    <w:rsid w:val="009439E8"/>
    <w:rsid w:val="00943FE0"/>
    <w:rsid w:val="0094486E"/>
    <w:rsid w:val="0094635C"/>
    <w:rsid w:val="009475E3"/>
    <w:rsid w:val="00950029"/>
    <w:rsid w:val="009518B4"/>
    <w:rsid w:val="00952C4F"/>
    <w:rsid w:val="0095363F"/>
    <w:rsid w:val="009544FA"/>
    <w:rsid w:val="0095552B"/>
    <w:rsid w:val="00955C36"/>
    <w:rsid w:val="00960F2F"/>
    <w:rsid w:val="009627B7"/>
    <w:rsid w:val="00964671"/>
    <w:rsid w:val="009649BF"/>
    <w:rsid w:val="00970379"/>
    <w:rsid w:val="0097174F"/>
    <w:rsid w:val="009772E0"/>
    <w:rsid w:val="00980581"/>
    <w:rsid w:val="009808BC"/>
    <w:rsid w:val="00981439"/>
    <w:rsid w:val="0098195A"/>
    <w:rsid w:val="00985977"/>
    <w:rsid w:val="009861D8"/>
    <w:rsid w:val="009863F7"/>
    <w:rsid w:val="009865DA"/>
    <w:rsid w:val="00997256"/>
    <w:rsid w:val="009A1690"/>
    <w:rsid w:val="009A3C22"/>
    <w:rsid w:val="009A5F5F"/>
    <w:rsid w:val="009A673B"/>
    <w:rsid w:val="009A78C8"/>
    <w:rsid w:val="009B09C7"/>
    <w:rsid w:val="009B45D9"/>
    <w:rsid w:val="009B5830"/>
    <w:rsid w:val="009B68F0"/>
    <w:rsid w:val="009B6A2A"/>
    <w:rsid w:val="009C1022"/>
    <w:rsid w:val="009C15DE"/>
    <w:rsid w:val="009C610B"/>
    <w:rsid w:val="009C64AD"/>
    <w:rsid w:val="009D4B15"/>
    <w:rsid w:val="009D4FCA"/>
    <w:rsid w:val="009D6882"/>
    <w:rsid w:val="009D7EB5"/>
    <w:rsid w:val="009F03CF"/>
    <w:rsid w:val="009F147B"/>
    <w:rsid w:val="009F6A5D"/>
    <w:rsid w:val="009F7DAB"/>
    <w:rsid w:val="00A01BC1"/>
    <w:rsid w:val="00A04957"/>
    <w:rsid w:val="00A04B82"/>
    <w:rsid w:val="00A051EE"/>
    <w:rsid w:val="00A06B5B"/>
    <w:rsid w:val="00A1255F"/>
    <w:rsid w:val="00A13103"/>
    <w:rsid w:val="00A13487"/>
    <w:rsid w:val="00A13641"/>
    <w:rsid w:val="00A179BE"/>
    <w:rsid w:val="00A20E79"/>
    <w:rsid w:val="00A21F68"/>
    <w:rsid w:val="00A223DB"/>
    <w:rsid w:val="00A2268A"/>
    <w:rsid w:val="00A23C8A"/>
    <w:rsid w:val="00A23CCD"/>
    <w:rsid w:val="00A25C88"/>
    <w:rsid w:val="00A27F9A"/>
    <w:rsid w:val="00A3020C"/>
    <w:rsid w:val="00A304C2"/>
    <w:rsid w:val="00A327F9"/>
    <w:rsid w:val="00A32FA1"/>
    <w:rsid w:val="00A332C8"/>
    <w:rsid w:val="00A33512"/>
    <w:rsid w:val="00A3392F"/>
    <w:rsid w:val="00A34398"/>
    <w:rsid w:val="00A35E3E"/>
    <w:rsid w:val="00A402B1"/>
    <w:rsid w:val="00A41CCB"/>
    <w:rsid w:val="00A42641"/>
    <w:rsid w:val="00A445CD"/>
    <w:rsid w:val="00A46BC7"/>
    <w:rsid w:val="00A47660"/>
    <w:rsid w:val="00A51E3B"/>
    <w:rsid w:val="00A54DE3"/>
    <w:rsid w:val="00A56CAB"/>
    <w:rsid w:val="00A57821"/>
    <w:rsid w:val="00A61717"/>
    <w:rsid w:val="00A62780"/>
    <w:rsid w:val="00A62A45"/>
    <w:rsid w:val="00A62ED2"/>
    <w:rsid w:val="00A63278"/>
    <w:rsid w:val="00A643DA"/>
    <w:rsid w:val="00A645F2"/>
    <w:rsid w:val="00A724DE"/>
    <w:rsid w:val="00A7330A"/>
    <w:rsid w:val="00A73DE3"/>
    <w:rsid w:val="00A7465A"/>
    <w:rsid w:val="00A763B9"/>
    <w:rsid w:val="00A769CC"/>
    <w:rsid w:val="00A814C6"/>
    <w:rsid w:val="00A81E91"/>
    <w:rsid w:val="00A8330A"/>
    <w:rsid w:val="00A85254"/>
    <w:rsid w:val="00A85520"/>
    <w:rsid w:val="00A85A3D"/>
    <w:rsid w:val="00A9103D"/>
    <w:rsid w:val="00A91475"/>
    <w:rsid w:val="00A91A36"/>
    <w:rsid w:val="00A94185"/>
    <w:rsid w:val="00A943EB"/>
    <w:rsid w:val="00A9466F"/>
    <w:rsid w:val="00A947E1"/>
    <w:rsid w:val="00A953C2"/>
    <w:rsid w:val="00A953F7"/>
    <w:rsid w:val="00AA10AA"/>
    <w:rsid w:val="00AB0066"/>
    <w:rsid w:val="00AB2AEF"/>
    <w:rsid w:val="00AB30EB"/>
    <w:rsid w:val="00AB5669"/>
    <w:rsid w:val="00AB6726"/>
    <w:rsid w:val="00AB7AA6"/>
    <w:rsid w:val="00AC1D36"/>
    <w:rsid w:val="00AC2300"/>
    <w:rsid w:val="00AC27DF"/>
    <w:rsid w:val="00AC5E7F"/>
    <w:rsid w:val="00AC632B"/>
    <w:rsid w:val="00AC78A5"/>
    <w:rsid w:val="00AD25A7"/>
    <w:rsid w:val="00AD4B0B"/>
    <w:rsid w:val="00AD672C"/>
    <w:rsid w:val="00AD6A0B"/>
    <w:rsid w:val="00AD773A"/>
    <w:rsid w:val="00AD7AE1"/>
    <w:rsid w:val="00AD7CB1"/>
    <w:rsid w:val="00AE4A61"/>
    <w:rsid w:val="00AE6654"/>
    <w:rsid w:val="00AE693A"/>
    <w:rsid w:val="00AE74F8"/>
    <w:rsid w:val="00AF528B"/>
    <w:rsid w:val="00AF61C9"/>
    <w:rsid w:val="00B00E01"/>
    <w:rsid w:val="00B02134"/>
    <w:rsid w:val="00B044DB"/>
    <w:rsid w:val="00B046E4"/>
    <w:rsid w:val="00B055B7"/>
    <w:rsid w:val="00B05A4E"/>
    <w:rsid w:val="00B07EE2"/>
    <w:rsid w:val="00B13167"/>
    <w:rsid w:val="00B13618"/>
    <w:rsid w:val="00B15A05"/>
    <w:rsid w:val="00B209C1"/>
    <w:rsid w:val="00B31E52"/>
    <w:rsid w:val="00B32AD7"/>
    <w:rsid w:val="00B34BE3"/>
    <w:rsid w:val="00B36A01"/>
    <w:rsid w:val="00B3738D"/>
    <w:rsid w:val="00B451C7"/>
    <w:rsid w:val="00B45DF4"/>
    <w:rsid w:val="00B51619"/>
    <w:rsid w:val="00B53033"/>
    <w:rsid w:val="00B54EA8"/>
    <w:rsid w:val="00B550DE"/>
    <w:rsid w:val="00B5536C"/>
    <w:rsid w:val="00B57954"/>
    <w:rsid w:val="00B60FD3"/>
    <w:rsid w:val="00B6300A"/>
    <w:rsid w:val="00B64B84"/>
    <w:rsid w:val="00B66B44"/>
    <w:rsid w:val="00B713B6"/>
    <w:rsid w:val="00B77C77"/>
    <w:rsid w:val="00B82023"/>
    <w:rsid w:val="00B820C9"/>
    <w:rsid w:val="00B826CE"/>
    <w:rsid w:val="00B82A52"/>
    <w:rsid w:val="00B82BA8"/>
    <w:rsid w:val="00B879E9"/>
    <w:rsid w:val="00B9263E"/>
    <w:rsid w:val="00B929B7"/>
    <w:rsid w:val="00B95112"/>
    <w:rsid w:val="00B96E3B"/>
    <w:rsid w:val="00BA01F5"/>
    <w:rsid w:val="00BA2502"/>
    <w:rsid w:val="00BA37DC"/>
    <w:rsid w:val="00BA44C2"/>
    <w:rsid w:val="00BA59C2"/>
    <w:rsid w:val="00BA73BE"/>
    <w:rsid w:val="00BB177D"/>
    <w:rsid w:val="00BB30BC"/>
    <w:rsid w:val="00BB323F"/>
    <w:rsid w:val="00BB76FA"/>
    <w:rsid w:val="00BB7D31"/>
    <w:rsid w:val="00BC088A"/>
    <w:rsid w:val="00BC1CB9"/>
    <w:rsid w:val="00BC3338"/>
    <w:rsid w:val="00BC3AE2"/>
    <w:rsid w:val="00BC3F73"/>
    <w:rsid w:val="00BC3FBB"/>
    <w:rsid w:val="00BC4947"/>
    <w:rsid w:val="00BC5028"/>
    <w:rsid w:val="00BC5A50"/>
    <w:rsid w:val="00BD2FC6"/>
    <w:rsid w:val="00BD51BB"/>
    <w:rsid w:val="00BD5269"/>
    <w:rsid w:val="00BE0B6E"/>
    <w:rsid w:val="00BE11FF"/>
    <w:rsid w:val="00BE19BC"/>
    <w:rsid w:val="00BE1B58"/>
    <w:rsid w:val="00BE22A4"/>
    <w:rsid w:val="00BE2834"/>
    <w:rsid w:val="00BE327F"/>
    <w:rsid w:val="00BE711D"/>
    <w:rsid w:val="00BF3C07"/>
    <w:rsid w:val="00C03A26"/>
    <w:rsid w:val="00C05134"/>
    <w:rsid w:val="00C06590"/>
    <w:rsid w:val="00C06695"/>
    <w:rsid w:val="00C107A8"/>
    <w:rsid w:val="00C117FE"/>
    <w:rsid w:val="00C14838"/>
    <w:rsid w:val="00C153F0"/>
    <w:rsid w:val="00C15DD7"/>
    <w:rsid w:val="00C170C7"/>
    <w:rsid w:val="00C1736A"/>
    <w:rsid w:val="00C17BC6"/>
    <w:rsid w:val="00C22606"/>
    <w:rsid w:val="00C22A96"/>
    <w:rsid w:val="00C2304B"/>
    <w:rsid w:val="00C2399B"/>
    <w:rsid w:val="00C25060"/>
    <w:rsid w:val="00C26C55"/>
    <w:rsid w:val="00C27874"/>
    <w:rsid w:val="00C34BB5"/>
    <w:rsid w:val="00C3594D"/>
    <w:rsid w:val="00C40B33"/>
    <w:rsid w:val="00C4411F"/>
    <w:rsid w:val="00C4443D"/>
    <w:rsid w:val="00C44D9F"/>
    <w:rsid w:val="00C4544B"/>
    <w:rsid w:val="00C51059"/>
    <w:rsid w:val="00C52ABB"/>
    <w:rsid w:val="00C53295"/>
    <w:rsid w:val="00C5334F"/>
    <w:rsid w:val="00C53D3B"/>
    <w:rsid w:val="00C53E80"/>
    <w:rsid w:val="00C53FD7"/>
    <w:rsid w:val="00C54FAC"/>
    <w:rsid w:val="00C55369"/>
    <w:rsid w:val="00C55E1D"/>
    <w:rsid w:val="00C573D1"/>
    <w:rsid w:val="00C6066A"/>
    <w:rsid w:val="00C60E4C"/>
    <w:rsid w:val="00C636B2"/>
    <w:rsid w:val="00C6432B"/>
    <w:rsid w:val="00C66B6D"/>
    <w:rsid w:val="00C70696"/>
    <w:rsid w:val="00C70CE7"/>
    <w:rsid w:val="00C70CF8"/>
    <w:rsid w:val="00C71864"/>
    <w:rsid w:val="00C741B2"/>
    <w:rsid w:val="00C7436F"/>
    <w:rsid w:val="00C74BF4"/>
    <w:rsid w:val="00C74F39"/>
    <w:rsid w:val="00C74F60"/>
    <w:rsid w:val="00C75230"/>
    <w:rsid w:val="00C811BA"/>
    <w:rsid w:val="00C83D5A"/>
    <w:rsid w:val="00C8448A"/>
    <w:rsid w:val="00C84690"/>
    <w:rsid w:val="00C8791C"/>
    <w:rsid w:val="00C90FBB"/>
    <w:rsid w:val="00C92DA9"/>
    <w:rsid w:val="00C93C91"/>
    <w:rsid w:val="00C9412B"/>
    <w:rsid w:val="00C94D04"/>
    <w:rsid w:val="00C96B24"/>
    <w:rsid w:val="00CA143C"/>
    <w:rsid w:val="00CA3727"/>
    <w:rsid w:val="00CA397C"/>
    <w:rsid w:val="00CA6721"/>
    <w:rsid w:val="00CB0542"/>
    <w:rsid w:val="00CB3DA4"/>
    <w:rsid w:val="00CB5EB6"/>
    <w:rsid w:val="00CB69E6"/>
    <w:rsid w:val="00CB7D58"/>
    <w:rsid w:val="00CC0C4C"/>
    <w:rsid w:val="00CC2FD8"/>
    <w:rsid w:val="00CC3D5C"/>
    <w:rsid w:val="00CC42FC"/>
    <w:rsid w:val="00CC5BA2"/>
    <w:rsid w:val="00CD0636"/>
    <w:rsid w:val="00CD3B62"/>
    <w:rsid w:val="00CD4C74"/>
    <w:rsid w:val="00CD502A"/>
    <w:rsid w:val="00CD5B8E"/>
    <w:rsid w:val="00CD7062"/>
    <w:rsid w:val="00CD70E8"/>
    <w:rsid w:val="00CD787B"/>
    <w:rsid w:val="00CD7F1E"/>
    <w:rsid w:val="00CE00C7"/>
    <w:rsid w:val="00CF0EE9"/>
    <w:rsid w:val="00CF104C"/>
    <w:rsid w:val="00CF1147"/>
    <w:rsid w:val="00CF6D83"/>
    <w:rsid w:val="00D02371"/>
    <w:rsid w:val="00D0258B"/>
    <w:rsid w:val="00D059E2"/>
    <w:rsid w:val="00D068AE"/>
    <w:rsid w:val="00D07F54"/>
    <w:rsid w:val="00D104A1"/>
    <w:rsid w:val="00D110B0"/>
    <w:rsid w:val="00D110F7"/>
    <w:rsid w:val="00D13004"/>
    <w:rsid w:val="00D132CD"/>
    <w:rsid w:val="00D13B67"/>
    <w:rsid w:val="00D13FA8"/>
    <w:rsid w:val="00D147A7"/>
    <w:rsid w:val="00D15B8E"/>
    <w:rsid w:val="00D163F1"/>
    <w:rsid w:val="00D20C59"/>
    <w:rsid w:val="00D22CF7"/>
    <w:rsid w:val="00D237C3"/>
    <w:rsid w:val="00D24A3F"/>
    <w:rsid w:val="00D25D6B"/>
    <w:rsid w:val="00D25FC6"/>
    <w:rsid w:val="00D26B7F"/>
    <w:rsid w:val="00D301E4"/>
    <w:rsid w:val="00D30B33"/>
    <w:rsid w:val="00D31792"/>
    <w:rsid w:val="00D327C2"/>
    <w:rsid w:val="00D33A2D"/>
    <w:rsid w:val="00D345AF"/>
    <w:rsid w:val="00D3663F"/>
    <w:rsid w:val="00D423EC"/>
    <w:rsid w:val="00D43318"/>
    <w:rsid w:val="00D4570A"/>
    <w:rsid w:val="00D46178"/>
    <w:rsid w:val="00D4630F"/>
    <w:rsid w:val="00D465D9"/>
    <w:rsid w:val="00D46DDE"/>
    <w:rsid w:val="00D47887"/>
    <w:rsid w:val="00D47CD1"/>
    <w:rsid w:val="00D47E98"/>
    <w:rsid w:val="00D507A0"/>
    <w:rsid w:val="00D527C9"/>
    <w:rsid w:val="00D56532"/>
    <w:rsid w:val="00D57A5F"/>
    <w:rsid w:val="00D57F5E"/>
    <w:rsid w:val="00D61107"/>
    <w:rsid w:val="00D63C43"/>
    <w:rsid w:val="00D63D25"/>
    <w:rsid w:val="00D65F45"/>
    <w:rsid w:val="00D6696C"/>
    <w:rsid w:val="00D70EE4"/>
    <w:rsid w:val="00D725C3"/>
    <w:rsid w:val="00D76BAB"/>
    <w:rsid w:val="00D81E23"/>
    <w:rsid w:val="00D85309"/>
    <w:rsid w:val="00D85E21"/>
    <w:rsid w:val="00D86183"/>
    <w:rsid w:val="00D878E0"/>
    <w:rsid w:val="00D87A34"/>
    <w:rsid w:val="00D87B42"/>
    <w:rsid w:val="00D90731"/>
    <w:rsid w:val="00D929B8"/>
    <w:rsid w:val="00D93547"/>
    <w:rsid w:val="00D96E0E"/>
    <w:rsid w:val="00D97BEB"/>
    <w:rsid w:val="00DA2004"/>
    <w:rsid w:val="00DA30C2"/>
    <w:rsid w:val="00DA4554"/>
    <w:rsid w:val="00DA47DD"/>
    <w:rsid w:val="00DA495D"/>
    <w:rsid w:val="00DA4DC3"/>
    <w:rsid w:val="00DA63BE"/>
    <w:rsid w:val="00DA749B"/>
    <w:rsid w:val="00DA778E"/>
    <w:rsid w:val="00DB3873"/>
    <w:rsid w:val="00DB53FD"/>
    <w:rsid w:val="00DC12C7"/>
    <w:rsid w:val="00DC1703"/>
    <w:rsid w:val="00DC3E9E"/>
    <w:rsid w:val="00DD01D7"/>
    <w:rsid w:val="00DD07D4"/>
    <w:rsid w:val="00DD08B0"/>
    <w:rsid w:val="00DD1DB2"/>
    <w:rsid w:val="00DD34CF"/>
    <w:rsid w:val="00DD3A84"/>
    <w:rsid w:val="00DD42BA"/>
    <w:rsid w:val="00DD6785"/>
    <w:rsid w:val="00DD68A5"/>
    <w:rsid w:val="00DD6D42"/>
    <w:rsid w:val="00DE22C1"/>
    <w:rsid w:val="00DE351C"/>
    <w:rsid w:val="00DE78E5"/>
    <w:rsid w:val="00DF025B"/>
    <w:rsid w:val="00DF03EF"/>
    <w:rsid w:val="00DF049B"/>
    <w:rsid w:val="00DF0D5B"/>
    <w:rsid w:val="00DF16D5"/>
    <w:rsid w:val="00DF60E2"/>
    <w:rsid w:val="00E0021B"/>
    <w:rsid w:val="00E01B63"/>
    <w:rsid w:val="00E02F7D"/>
    <w:rsid w:val="00E03062"/>
    <w:rsid w:val="00E05794"/>
    <w:rsid w:val="00E07461"/>
    <w:rsid w:val="00E1024C"/>
    <w:rsid w:val="00E1150C"/>
    <w:rsid w:val="00E11AA1"/>
    <w:rsid w:val="00E126AE"/>
    <w:rsid w:val="00E167D1"/>
    <w:rsid w:val="00E1798B"/>
    <w:rsid w:val="00E21518"/>
    <w:rsid w:val="00E22A20"/>
    <w:rsid w:val="00E2471D"/>
    <w:rsid w:val="00E24797"/>
    <w:rsid w:val="00E24D0C"/>
    <w:rsid w:val="00E26440"/>
    <w:rsid w:val="00E27096"/>
    <w:rsid w:val="00E273AF"/>
    <w:rsid w:val="00E2763C"/>
    <w:rsid w:val="00E27B1D"/>
    <w:rsid w:val="00E3223E"/>
    <w:rsid w:val="00E33C34"/>
    <w:rsid w:val="00E34875"/>
    <w:rsid w:val="00E41E02"/>
    <w:rsid w:val="00E42F54"/>
    <w:rsid w:val="00E438A7"/>
    <w:rsid w:val="00E45929"/>
    <w:rsid w:val="00E4776A"/>
    <w:rsid w:val="00E47781"/>
    <w:rsid w:val="00E503EB"/>
    <w:rsid w:val="00E50407"/>
    <w:rsid w:val="00E51EB2"/>
    <w:rsid w:val="00E52AF5"/>
    <w:rsid w:val="00E539DC"/>
    <w:rsid w:val="00E550CC"/>
    <w:rsid w:val="00E55F3C"/>
    <w:rsid w:val="00E56566"/>
    <w:rsid w:val="00E618E4"/>
    <w:rsid w:val="00E634E4"/>
    <w:rsid w:val="00E63CFD"/>
    <w:rsid w:val="00E64E1B"/>
    <w:rsid w:val="00E64E68"/>
    <w:rsid w:val="00E670F6"/>
    <w:rsid w:val="00E67C56"/>
    <w:rsid w:val="00E70196"/>
    <w:rsid w:val="00E7264A"/>
    <w:rsid w:val="00E72B3B"/>
    <w:rsid w:val="00E76B85"/>
    <w:rsid w:val="00E77F3C"/>
    <w:rsid w:val="00E77F83"/>
    <w:rsid w:val="00E80B24"/>
    <w:rsid w:val="00E80EFC"/>
    <w:rsid w:val="00E81CE1"/>
    <w:rsid w:val="00E81F46"/>
    <w:rsid w:val="00E8229A"/>
    <w:rsid w:val="00E83334"/>
    <w:rsid w:val="00E83BC7"/>
    <w:rsid w:val="00E8489F"/>
    <w:rsid w:val="00E84C3F"/>
    <w:rsid w:val="00E8598A"/>
    <w:rsid w:val="00E86132"/>
    <w:rsid w:val="00E87627"/>
    <w:rsid w:val="00E90830"/>
    <w:rsid w:val="00E92425"/>
    <w:rsid w:val="00E927FE"/>
    <w:rsid w:val="00E943F3"/>
    <w:rsid w:val="00E94DC3"/>
    <w:rsid w:val="00E951DC"/>
    <w:rsid w:val="00E95A7D"/>
    <w:rsid w:val="00E95EA9"/>
    <w:rsid w:val="00E96C8C"/>
    <w:rsid w:val="00EA0641"/>
    <w:rsid w:val="00EA125B"/>
    <w:rsid w:val="00EA57E1"/>
    <w:rsid w:val="00EA5E6A"/>
    <w:rsid w:val="00EA7BDC"/>
    <w:rsid w:val="00EA7FE5"/>
    <w:rsid w:val="00EB3359"/>
    <w:rsid w:val="00EB37F0"/>
    <w:rsid w:val="00EB4234"/>
    <w:rsid w:val="00EB47CA"/>
    <w:rsid w:val="00EB58D4"/>
    <w:rsid w:val="00EC0A9C"/>
    <w:rsid w:val="00EC1E6F"/>
    <w:rsid w:val="00EC2E92"/>
    <w:rsid w:val="00EC48CE"/>
    <w:rsid w:val="00EC60A4"/>
    <w:rsid w:val="00ED05FD"/>
    <w:rsid w:val="00ED0A81"/>
    <w:rsid w:val="00ED2E0E"/>
    <w:rsid w:val="00ED358D"/>
    <w:rsid w:val="00ED3BC7"/>
    <w:rsid w:val="00ED42FF"/>
    <w:rsid w:val="00ED5167"/>
    <w:rsid w:val="00ED72C4"/>
    <w:rsid w:val="00ED7A65"/>
    <w:rsid w:val="00EE162C"/>
    <w:rsid w:val="00EE25C1"/>
    <w:rsid w:val="00EE25DD"/>
    <w:rsid w:val="00EF14F7"/>
    <w:rsid w:val="00EF40FA"/>
    <w:rsid w:val="00EF6862"/>
    <w:rsid w:val="00F04BFA"/>
    <w:rsid w:val="00F04D7A"/>
    <w:rsid w:val="00F05F93"/>
    <w:rsid w:val="00F143F5"/>
    <w:rsid w:val="00F16609"/>
    <w:rsid w:val="00F16B8F"/>
    <w:rsid w:val="00F17B79"/>
    <w:rsid w:val="00F20AB3"/>
    <w:rsid w:val="00F20FE9"/>
    <w:rsid w:val="00F2250C"/>
    <w:rsid w:val="00F22CF1"/>
    <w:rsid w:val="00F236CA"/>
    <w:rsid w:val="00F319AF"/>
    <w:rsid w:val="00F3228A"/>
    <w:rsid w:val="00F3269A"/>
    <w:rsid w:val="00F34295"/>
    <w:rsid w:val="00F34EB6"/>
    <w:rsid w:val="00F36F89"/>
    <w:rsid w:val="00F375DD"/>
    <w:rsid w:val="00F37B05"/>
    <w:rsid w:val="00F42BA5"/>
    <w:rsid w:val="00F42E59"/>
    <w:rsid w:val="00F4341F"/>
    <w:rsid w:val="00F44FC4"/>
    <w:rsid w:val="00F473E2"/>
    <w:rsid w:val="00F47496"/>
    <w:rsid w:val="00F520B0"/>
    <w:rsid w:val="00F54802"/>
    <w:rsid w:val="00F55895"/>
    <w:rsid w:val="00F56173"/>
    <w:rsid w:val="00F57987"/>
    <w:rsid w:val="00F63ED5"/>
    <w:rsid w:val="00F66B25"/>
    <w:rsid w:val="00F679E4"/>
    <w:rsid w:val="00F71040"/>
    <w:rsid w:val="00F71B2E"/>
    <w:rsid w:val="00F722DC"/>
    <w:rsid w:val="00F72D43"/>
    <w:rsid w:val="00F73D4E"/>
    <w:rsid w:val="00F75BEF"/>
    <w:rsid w:val="00F82FE0"/>
    <w:rsid w:val="00F8569B"/>
    <w:rsid w:val="00F85E4D"/>
    <w:rsid w:val="00F86525"/>
    <w:rsid w:val="00F906ED"/>
    <w:rsid w:val="00F91B42"/>
    <w:rsid w:val="00F9523C"/>
    <w:rsid w:val="00F97957"/>
    <w:rsid w:val="00FA0F29"/>
    <w:rsid w:val="00FA188E"/>
    <w:rsid w:val="00FA198D"/>
    <w:rsid w:val="00FA218C"/>
    <w:rsid w:val="00FA3CCD"/>
    <w:rsid w:val="00FA4FC7"/>
    <w:rsid w:val="00FA5BF6"/>
    <w:rsid w:val="00FB0CEB"/>
    <w:rsid w:val="00FB0F6E"/>
    <w:rsid w:val="00FB3A55"/>
    <w:rsid w:val="00FB4107"/>
    <w:rsid w:val="00FB77D1"/>
    <w:rsid w:val="00FC1E5A"/>
    <w:rsid w:val="00FC54C8"/>
    <w:rsid w:val="00FC5A95"/>
    <w:rsid w:val="00FC62E7"/>
    <w:rsid w:val="00FC636D"/>
    <w:rsid w:val="00FD15A1"/>
    <w:rsid w:val="00FD3E34"/>
    <w:rsid w:val="00FD6301"/>
    <w:rsid w:val="00FD74F2"/>
    <w:rsid w:val="00FD7886"/>
    <w:rsid w:val="00FD7B7A"/>
    <w:rsid w:val="00FE3571"/>
    <w:rsid w:val="00FE4A7F"/>
    <w:rsid w:val="00FE604B"/>
    <w:rsid w:val="00FE69C9"/>
    <w:rsid w:val="00FF63C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27985A"/>
  <w15:docId w15:val="{93F31E81-9070-4327-B9A3-B2F9C274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79B"/>
    <w:rPr>
      <w:rFonts w:ascii="Calibri" w:hAnsi="Calibri"/>
      <w:lang w:val="en-US"/>
    </w:rPr>
  </w:style>
  <w:style w:type="paragraph" w:styleId="Heading1">
    <w:name w:val="heading 1"/>
    <w:basedOn w:val="Normal"/>
    <w:next w:val="Normal"/>
    <w:link w:val="Heading1Char"/>
    <w:autoRedefine/>
    <w:qFormat/>
    <w:locked/>
    <w:rsid w:val="00125304"/>
    <w:pPr>
      <w:pBdr>
        <w:bottom w:val="single" w:sz="4" w:space="1" w:color="0B6965"/>
      </w:pBdr>
      <w:spacing w:before="240" w:after="240"/>
      <w:outlineLvl w:val="0"/>
    </w:pPr>
    <w:rPr>
      <w:b/>
      <w:color w:val="0B6965"/>
      <w:sz w:val="28"/>
      <w:szCs w:val="28"/>
    </w:rPr>
  </w:style>
  <w:style w:type="paragraph" w:styleId="Heading2">
    <w:name w:val="heading 2"/>
    <w:basedOn w:val="Heading1"/>
    <w:next w:val="Normal"/>
    <w:link w:val="Heading2Char"/>
    <w:unhideWhenUsed/>
    <w:qFormat/>
    <w:locked/>
    <w:rsid w:val="0097174F"/>
    <w:pPr>
      <w:numPr>
        <w:numId w:val="1"/>
      </w:numPr>
      <w:pBdr>
        <w:bottom w:val="none" w:sz="0" w:space="0" w:color="auto"/>
      </w:pBdr>
      <w:spacing w:before="120" w:after="120"/>
      <w:outlineLvl w:val="1"/>
    </w:pPr>
    <w:rPr>
      <w:sz w:val="22"/>
    </w:rPr>
  </w:style>
  <w:style w:type="paragraph" w:styleId="Heading3">
    <w:name w:val="heading 3"/>
    <w:basedOn w:val="Heading2"/>
    <w:next w:val="Normal"/>
    <w:link w:val="Heading3Char"/>
    <w:unhideWhenUsed/>
    <w:qFormat/>
    <w:locked/>
    <w:rsid w:val="0097174F"/>
    <w:pPr>
      <w:numPr>
        <w:numId w:val="2"/>
      </w:numPr>
      <w:outlineLvl w:val="2"/>
    </w:pPr>
    <w:rPr>
      <w:sz w:val="20"/>
    </w:rPr>
  </w:style>
  <w:style w:type="paragraph" w:styleId="Heading4">
    <w:name w:val="heading 4"/>
    <w:basedOn w:val="Normal"/>
    <w:next w:val="Normal"/>
    <w:link w:val="Heading4Char"/>
    <w:unhideWhenUsed/>
    <w:qFormat/>
    <w:locked/>
    <w:rsid w:val="0097174F"/>
    <w:pPr>
      <w:spacing w:after="120" w:line="276" w:lineRule="auto"/>
      <w:ind w:left="1138"/>
      <w:jc w:val="both"/>
      <w:outlineLvl w:val="3"/>
    </w:pPr>
    <w:rPr>
      <w:b/>
      <w:color w:val="0B6965"/>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2AD7"/>
    <w:pPr>
      <w:tabs>
        <w:tab w:val="center" w:pos="4536"/>
        <w:tab w:val="right" w:pos="9072"/>
      </w:tabs>
    </w:pPr>
  </w:style>
  <w:style w:type="character" w:customStyle="1" w:styleId="HeaderChar">
    <w:name w:val="Header Char"/>
    <w:basedOn w:val="DefaultParagraphFont"/>
    <w:link w:val="Header"/>
    <w:uiPriority w:val="99"/>
    <w:semiHidden/>
    <w:locked/>
    <w:rsid w:val="00ED05FD"/>
    <w:rPr>
      <w:sz w:val="24"/>
      <w:szCs w:val="24"/>
    </w:rPr>
  </w:style>
  <w:style w:type="paragraph" w:styleId="Footer">
    <w:name w:val="footer"/>
    <w:basedOn w:val="Normal"/>
    <w:link w:val="FooterChar"/>
    <w:uiPriority w:val="99"/>
    <w:rsid w:val="00B32AD7"/>
    <w:pPr>
      <w:tabs>
        <w:tab w:val="center" w:pos="4536"/>
        <w:tab w:val="right" w:pos="9072"/>
      </w:tabs>
    </w:pPr>
  </w:style>
  <w:style w:type="character" w:customStyle="1" w:styleId="FooterChar">
    <w:name w:val="Footer Char"/>
    <w:basedOn w:val="DefaultParagraphFont"/>
    <w:link w:val="Footer"/>
    <w:uiPriority w:val="99"/>
    <w:semiHidden/>
    <w:locked/>
    <w:rsid w:val="00ED05FD"/>
    <w:rPr>
      <w:sz w:val="24"/>
      <w:szCs w:val="24"/>
    </w:rPr>
  </w:style>
  <w:style w:type="character" w:styleId="PageNumber">
    <w:name w:val="page number"/>
    <w:basedOn w:val="DefaultParagraphFont"/>
    <w:uiPriority w:val="99"/>
    <w:rsid w:val="00B32AD7"/>
  </w:style>
  <w:style w:type="paragraph" w:styleId="NormalWeb">
    <w:name w:val="Normal (Web)"/>
    <w:basedOn w:val="Normal"/>
    <w:uiPriority w:val="99"/>
    <w:rsid w:val="00636E32"/>
    <w:pPr>
      <w:spacing w:before="100" w:beforeAutospacing="1" w:after="100" w:afterAutospacing="1"/>
    </w:pPr>
  </w:style>
  <w:style w:type="paragraph" w:styleId="ListParagraph">
    <w:name w:val="List Paragraph"/>
    <w:basedOn w:val="Normal"/>
    <w:link w:val="ListParagraphChar"/>
    <w:uiPriority w:val="34"/>
    <w:qFormat/>
    <w:rsid w:val="000C5E06"/>
    <w:pPr>
      <w:ind w:left="720"/>
      <w:contextualSpacing/>
    </w:pPr>
  </w:style>
  <w:style w:type="character" w:styleId="CommentReference">
    <w:name w:val="annotation reference"/>
    <w:basedOn w:val="DefaultParagraphFont"/>
    <w:uiPriority w:val="99"/>
    <w:semiHidden/>
    <w:unhideWhenUsed/>
    <w:rsid w:val="000C5E06"/>
    <w:rPr>
      <w:sz w:val="16"/>
      <w:szCs w:val="16"/>
    </w:rPr>
  </w:style>
  <w:style w:type="paragraph" w:styleId="CommentText">
    <w:name w:val="annotation text"/>
    <w:basedOn w:val="Normal"/>
    <w:link w:val="CommentTextChar"/>
    <w:uiPriority w:val="99"/>
    <w:semiHidden/>
    <w:unhideWhenUsed/>
    <w:rsid w:val="000C5E06"/>
    <w:rPr>
      <w:sz w:val="20"/>
      <w:szCs w:val="20"/>
    </w:rPr>
  </w:style>
  <w:style w:type="character" w:customStyle="1" w:styleId="CommentTextChar">
    <w:name w:val="Comment Text Char"/>
    <w:basedOn w:val="DefaultParagraphFont"/>
    <w:link w:val="CommentText"/>
    <w:uiPriority w:val="99"/>
    <w:semiHidden/>
    <w:rsid w:val="000C5E06"/>
    <w:rPr>
      <w:rFonts w:ascii="Calibri" w:hAnsi="Calibri"/>
      <w:sz w:val="20"/>
      <w:szCs w:val="20"/>
    </w:rPr>
  </w:style>
  <w:style w:type="paragraph" w:styleId="FootnoteText">
    <w:name w:val="footnote text"/>
    <w:basedOn w:val="Normal"/>
    <w:link w:val="FootnoteTextChar"/>
    <w:uiPriority w:val="99"/>
    <w:unhideWhenUsed/>
    <w:rsid w:val="003F6762"/>
    <w:pPr>
      <w:spacing w:line="276" w:lineRule="auto"/>
    </w:pPr>
    <w:rPr>
      <w:sz w:val="20"/>
      <w:szCs w:val="20"/>
    </w:rPr>
  </w:style>
  <w:style w:type="character" w:customStyle="1" w:styleId="FootnoteTextChar">
    <w:name w:val="Footnote Text Char"/>
    <w:basedOn w:val="DefaultParagraphFont"/>
    <w:link w:val="FootnoteText"/>
    <w:uiPriority w:val="99"/>
    <w:rsid w:val="003F6762"/>
    <w:rPr>
      <w:rFonts w:ascii="Calibri" w:hAnsi="Calibri"/>
      <w:sz w:val="20"/>
      <w:szCs w:val="20"/>
      <w:lang w:val="en-US"/>
    </w:rPr>
  </w:style>
  <w:style w:type="character" w:styleId="FootnoteReference">
    <w:name w:val="footnote reference"/>
    <w:basedOn w:val="DefaultParagraphFont"/>
    <w:uiPriority w:val="99"/>
    <w:unhideWhenUsed/>
    <w:rsid w:val="000C5E06"/>
    <w:rPr>
      <w:vertAlign w:val="superscript"/>
    </w:rPr>
  </w:style>
  <w:style w:type="table" w:styleId="TableGrid">
    <w:name w:val="Table Grid"/>
    <w:basedOn w:val="TableNormal"/>
    <w:locked/>
    <w:rsid w:val="000C5E0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locked/>
    <w:rsid w:val="00686399"/>
    <w:pPr>
      <w:keepNext/>
      <w:spacing w:line="276" w:lineRule="auto"/>
      <w:jc w:val="center"/>
    </w:pPr>
    <w:rPr>
      <w:b/>
      <w:noProof/>
      <w:color w:val="0B6965"/>
      <w:sz w:val="14"/>
      <w:szCs w:val="16"/>
      <w:lang w:eastAsia="fr-BE"/>
    </w:rPr>
  </w:style>
  <w:style w:type="paragraph" w:styleId="BalloonText">
    <w:name w:val="Balloon Text"/>
    <w:basedOn w:val="Normal"/>
    <w:link w:val="BalloonTextChar"/>
    <w:uiPriority w:val="99"/>
    <w:semiHidden/>
    <w:unhideWhenUsed/>
    <w:rsid w:val="000C5E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E0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6221D"/>
    <w:rPr>
      <w:b/>
      <w:bCs/>
    </w:rPr>
  </w:style>
  <w:style w:type="character" w:customStyle="1" w:styleId="CommentSubjectChar">
    <w:name w:val="Comment Subject Char"/>
    <w:basedOn w:val="CommentTextChar"/>
    <w:link w:val="CommentSubject"/>
    <w:uiPriority w:val="99"/>
    <w:semiHidden/>
    <w:rsid w:val="0056221D"/>
    <w:rPr>
      <w:rFonts w:ascii="Calibri" w:hAnsi="Calibri"/>
      <w:b/>
      <w:bCs/>
      <w:sz w:val="20"/>
      <w:szCs w:val="20"/>
    </w:rPr>
  </w:style>
  <w:style w:type="paragraph" w:styleId="Revision">
    <w:name w:val="Revision"/>
    <w:hidden/>
    <w:uiPriority w:val="99"/>
    <w:semiHidden/>
    <w:rsid w:val="00BC3338"/>
    <w:rPr>
      <w:rFonts w:ascii="Calibri" w:hAnsi="Calibri"/>
    </w:rPr>
  </w:style>
  <w:style w:type="character" w:customStyle="1" w:styleId="Heading1Char">
    <w:name w:val="Heading 1 Char"/>
    <w:basedOn w:val="DefaultParagraphFont"/>
    <w:link w:val="Heading1"/>
    <w:rsid w:val="00125304"/>
    <w:rPr>
      <w:rFonts w:ascii="Calibri" w:hAnsi="Calibri"/>
      <w:b/>
      <w:color w:val="0B6965"/>
      <w:sz w:val="28"/>
      <w:szCs w:val="28"/>
      <w:lang w:val="en-US"/>
    </w:rPr>
  </w:style>
  <w:style w:type="character" w:customStyle="1" w:styleId="Heading2Char">
    <w:name w:val="Heading 2 Char"/>
    <w:basedOn w:val="DefaultParagraphFont"/>
    <w:link w:val="Heading2"/>
    <w:rsid w:val="0097174F"/>
    <w:rPr>
      <w:rFonts w:ascii="Calibri" w:hAnsi="Calibri"/>
      <w:b/>
      <w:color w:val="0B6965"/>
      <w:szCs w:val="28"/>
      <w:lang w:val="en-US"/>
    </w:rPr>
  </w:style>
  <w:style w:type="paragraph" w:styleId="Title">
    <w:name w:val="Title"/>
    <w:basedOn w:val="Normal"/>
    <w:next w:val="Normal"/>
    <w:link w:val="TitleChar"/>
    <w:autoRedefine/>
    <w:qFormat/>
    <w:locked/>
    <w:rsid w:val="00F319AF"/>
    <w:pPr>
      <w:contextualSpacing/>
      <w:jc w:val="center"/>
    </w:pPr>
    <w:rPr>
      <w:rFonts w:asciiTheme="majorHAnsi" w:eastAsiaTheme="majorEastAsia" w:hAnsiTheme="majorHAnsi" w:cstheme="majorBidi"/>
      <w:color w:val="11689B"/>
      <w:spacing w:val="-10"/>
      <w:kern w:val="28"/>
      <w:sz w:val="28"/>
      <w:szCs w:val="56"/>
    </w:rPr>
  </w:style>
  <w:style w:type="character" w:customStyle="1" w:styleId="TitleChar">
    <w:name w:val="Title Char"/>
    <w:basedOn w:val="DefaultParagraphFont"/>
    <w:link w:val="Title"/>
    <w:rsid w:val="00F319AF"/>
    <w:rPr>
      <w:rFonts w:asciiTheme="majorHAnsi" w:eastAsiaTheme="majorEastAsia" w:hAnsiTheme="majorHAnsi" w:cstheme="majorBidi"/>
      <w:color w:val="11689B"/>
      <w:spacing w:val="-10"/>
      <w:kern w:val="28"/>
      <w:sz w:val="28"/>
      <w:szCs w:val="56"/>
      <w:lang w:val="en-US"/>
    </w:rPr>
  </w:style>
  <w:style w:type="paragraph" w:styleId="Subtitle">
    <w:name w:val="Subtitle"/>
    <w:basedOn w:val="Normal"/>
    <w:next w:val="Normal"/>
    <w:link w:val="SubtitleChar"/>
    <w:qFormat/>
    <w:locked/>
    <w:rsid w:val="00F319AF"/>
    <w:pPr>
      <w:numPr>
        <w:ilvl w:val="1"/>
      </w:numPr>
      <w:spacing w:after="160"/>
      <w:jc w:val="center"/>
    </w:pPr>
    <w:rPr>
      <w:rFonts w:asciiTheme="majorHAnsi" w:eastAsiaTheme="minorEastAsia" w:hAnsiTheme="majorHAnsi" w:cstheme="minorBidi"/>
      <w:color w:val="11689B"/>
      <w:spacing w:val="15"/>
    </w:rPr>
  </w:style>
  <w:style w:type="character" w:customStyle="1" w:styleId="SubtitleChar">
    <w:name w:val="Subtitle Char"/>
    <w:basedOn w:val="DefaultParagraphFont"/>
    <w:link w:val="Subtitle"/>
    <w:rsid w:val="00F319AF"/>
    <w:rPr>
      <w:rFonts w:asciiTheme="majorHAnsi" w:eastAsiaTheme="minorEastAsia" w:hAnsiTheme="majorHAnsi" w:cstheme="minorBidi"/>
      <w:color w:val="11689B"/>
      <w:spacing w:val="15"/>
      <w:lang w:val="en-US"/>
    </w:rPr>
  </w:style>
  <w:style w:type="paragraph" w:customStyle="1" w:styleId="Default">
    <w:name w:val="Default"/>
    <w:rsid w:val="004042BE"/>
    <w:pPr>
      <w:autoSpaceDE w:val="0"/>
      <w:autoSpaceDN w:val="0"/>
      <w:adjustRightInd w:val="0"/>
    </w:pPr>
    <w:rPr>
      <w:rFonts w:ascii="Calibri" w:hAnsi="Calibri" w:cs="Calibri"/>
      <w:color w:val="000000"/>
      <w:sz w:val="24"/>
      <w:szCs w:val="24"/>
      <w:lang w:val="en-US"/>
    </w:rPr>
  </w:style>
  <w:style w:type="character" w:styleId="Hyperlink">
    <w:name w:val="Hyperlink"/>
    <w:basedOn w:val="DefaultParagraphFont"/>
    <w:uiPriority w:val="99"/>
    <w:unhideWhenUsed/>
    <w:rsid w:val="001B17C8"/>
    <w:rPr>
      <w:rFonts w:asciiTheme="minorHAnsi" w:hAnsiTheme="minorHAnsi"/>
      <w:color w:val="11689B"/>
      <w:u w:val="single"/>
    </w:rPr>
  </w:style>
  <w:style w:type="paragraph" w:customStyle="1" w:styleId="Name">
    <w:name w:val="Name"/>
    <w:basedOn w:val="Normal"/>
    <w:rsid w:val="00B5536C"/>
    <w:pPr>
      <w:spacing w:before="500" w:after="320" w:line="276" w:lineRule="auto"/>
      <w:jc w:val="both"/>
    </w:pPr>
    <w:rPr>
      <w:rFonts w:ascii="Candara" w:eastAsia="Trebuchet MS" w:hAnsi="Candara"/>
      <w:b/>
      <w:color w:val="0D0D0D"/>
      <w:sz w:val="20"/>
      <w:lang w:eastAsia="en-US"/>
    </w:rPr>
  </w:style>
  <w:style w:type="paragraph" w:customStyle="1" w:styleId="TitleII">
    <w:name w:val="Title II"/>
    <w:basedOn w:val="Normal"/>
    <w:autoRedefine/>
    <w:rsid w:val="00E24797"/>
    <w:pPr>
      <w:tabs>
        <w:tab w:val="left" w:pos="5880"/>
      </w:tabs>
      <w:spacing w:after="200" w:line="276" w:lineRule="auto"/>
      <w:ind w:left="360"/>
      <w:jc w:val="both"/>
    </w:pPr>
    <w:rPr>
      <w:rFonts w:asciiTheme="minorHAnsi" w:eastAsia="Trebuchet MS" w:hAnsiTheme="minorHAnsi"/>
      <w:lang w:eastAsia="en-US"/>
    </w:rPr>
  </w:style>
  <w:style w:type="character" w:customStyle="1" w:styleId="ListParagraphChar">
    <w:name w:val="List Paragraph Char"/>
    <w:basedOn w:val="DefaultParagraphFont"/>
    <w:link w:val="ListParagraph"/>
    <w:uiPriority w:val="34"/>
    <w:rsid w:val="00DD01D7"/>
    <w:rPr>
      <w:rFonts w:ascii="Calibri" w:hAnsi="Calibri"/>
      <w:lang w:val="en-US"/>
    </w:rPr>
  </w:style>
  <w:style w:type="character" w:styleId="FollowedHyperlink">
    <w:name w:val="FollowedHyperlink"/>
    <w:basedOn w:val="DefaultParagraphFont"/>
    <w:uiPriority w:val="99"/>
    <w:semiHidden/>
    <w:unhideWhenUsed/>
    <w:rsid w:val="00B13618"/>
    <w:rPr>
      <w:color w:val="800080" w:themeColor="followedHyperlink"/>
      <w:u w:val="single"/>
    </w:rPr>
  </w:style>
  <w:style w:type="paragraph" w:customStyle="1" w:styleId="ContactInfo">
    <w:name w:val="Contact Info"/>
    <w:link w:val="ContactInfoChar"/>
    <w:qFormat/>
    <w:rsid w:val="00D301E4"/>
    <w:pPr>
      <w:spacing w:before="80" w:after="40"/>
    </w:pPr>
    <w:rPr>
      <w:rFonts w:ascii="Trebuchet MS" w:eastAsia="Trebuchet MS" w:hAnsi="Trebuchet MS"/>
      <w:color w:val="0D0D0D"/>
      <w:sz w:val="20"/>
      <w:lang w:val="en-US" w:eastAsia="en-US"/>
    </w:rPr>
  </w:style>
  <w:style w:type="character" w:customStyle="1" w:styleId="ContactInfoChar">
    <w:name w:val="Contact Info Char"/>
    <w:basedOn w:val="DefaultParagraphFont"/>
    <w:link w:val="ContactInfo"/>
    <w:rsid w:val="00D301E4"/>
    <w:rPr>
      <w:rFonts w:ascii="Trebuchet MS" w:eastAsia="Trebuchet MS" w:hAnsi="Trebuchet MS"/>
      <w:color w:val="0D0D0D"/>
      <w:sz w:val="20"/>
      <w:lang w:val="en-US" w:eastAsia="en-US"/>
    </w:rPr>
  </w:style>
  <w:style w:type="character" w:styleId="Emphasis">
    <w:name w:val="Emphasis"/>
    <w:basedOn w:val="DefaultParagraphFont"/>
    <w:uiPriority w:val="20"/>
    <w:qFormat/>
    <w:locked/>
    <w:rsid w:val="009544FA"/>
    <w:rPr>
      <w:i/>
      <w:iCs/>
    </w:rPr>
  </w:style>
  <w:style w:type="paragraph" w:styleId="BodyText">
    <w:name w:val="Body Text"/>
    <w:basedOn w:val="Normal"/>
    <w:link w:val="BodyTextChar"/>
    <w:uiPriority w:val="1"/>
    <w:qFormat/>
    <w:rsid w:val="00B209C1"/>
    <w:pPr>
      <w:autoSpaceDE w:val="0"/>
      <w:autoSpaceDN w:val="0"/>
      <w:adjustRightInd w:val="0"/>
      <w:ind w:left="40"/>
    </w:pPr>
    <w:rPr>
      <w:rFonts w:ascii="Candara" w:hAnsi="Candara" w:cs="Candara"/>
      <w:sz w:val="24"/>
      <w:szCs w:val="24"/>
      <w:lang w:val="en-GB"/>
    </w:rPr>
  </w:style>
  <w:style w:type="character" w:customStyle="1" w:styleId="BodyTextChar">
    <w:name w:val="Body Text Char"/>
    <w:basedOn w:val="DefaultParagraphFont"/>
    <w:link w:val="BodyText"/>
    <w:uiPriority w:val="1"/>
    <w:rsid w:val="00B209C1"/>
    <w:rPr>
      <w:rFonts w:ascii="Candara" w:hAnsi="Candara" w:cs="Candara"/>
      <w:sz w:val="24"/>
      <w:szCs w:val="24"/>
      <w:lang w:val="en-GB"/>
    </w:rPr>
  </w:style>
  <w:style w:type="paragraph" w:styleId="TOC1">
    <w:name w:val="toc 1"/>
    <w:basedOn w:val="Normal"/>
    <w:next w:val="Normal"/>
    <w:autoRedefine/>
    <w:uiPriority w:val="39"/>
    <w:locked/>
    <w:rsid w:val="00800DC9"/>
    <w:pPr>
      <w:tabs>
        <w:tab w:val="left" w:pos="440"/>
        <w:tab w:val="right" w:leader="dot" w:pos="10054"/>
      </w:tabs>
      <w:spacing w:after="100"/>
      <w:ind w:left="426"/>
      <w:jc w:val="center"/>
    </w:pPr>
    <w:rPr>
      <w:b/>
      <w:i/>
      <w:noProof/>
    </w:rPr>
  </w:style>
  <w:style w:type="character" w:customStyle="1" w:styleId="Heading3Char">
    <w:name w:val="Heading 3 Char"/>
    <w:basedOn w:val="DefaultParagraphFont"/>
    <w:link w:val="Heading3"/>
    <w:rsid w:val="0097174F"/>
    <w:rPr>
      <w:rFonts w:ascii="Calibri" w:hAnsi="Calibri"/>
      <w:b/>
      <w:color w:val="0B6965"/>
      <w:sz w:val="20"/>
      <w:szCs w:val="28"/>
      <w:lang w:val="en-US"/>
    </w:rPr>
  </w:style>
  <w:style w:type="paragraph" w:styleId="TOCHeading">
    <w:name w:val="TOC Heading"/>
    <w:basedOn w:val="Heading1"/>
    <w:next w:val="Normal"/>
    <w:uiPriority w:val="39"/>
    <w:unhideWhenUsed/>
    <w:qFormat/>
    <w:rsid w:val="00CD787B"/>
    <w:pPr>
      <w:keepNext/>
      <w:keepLines/>
      <w:pBdr>
        <w:bottom w:val="none" w:sz="0" w:space="0" w:color="auto"/>
      </w:pBdr>
      <w:spacing w:line="259" w:lineRule="auto"/>
      <w:outlineLvl w:val="9"/>
    </w:pPr>
    <w:rPr>
      <w:rFonts w:asciiTheme="minorHAnsi" w:eastAsiaTheme="majorEastAsia" w:hAnsiTheme="minorHAnsi" w:cstheme="majorBidi"/>
      <w:szCs w:val="32"/>
      <w:lang w:eastAsia="en-US"/>
    </w:rPr>
  </w:style>
  <w:style w:type="paragraph" w:styleId="TOC2">
    <w:name w:val="toc 2"/>
    <w:basedOn w:val="Normal"/>
    <w:next w:val="Normal"/>
    <w:autoRedefine/>
    <w:uiPriority w:val="39"/>
    <w:locked/>
    <w:rsid w:val="0003106A"/>
    <w:pPr>
      <w:spacing w:after="100"/>
      <w:ind w:left="220"/>
    </w:pPr>
  </w:style>
  <w:style w:type="paragraph" w:styleId="TOC3">
    <w:name w:val="toc 3"/>
    <w:basedOn w:val="Normal"/>
    <w:next w:val="Normal"/>
    <w:autoRedefine/>
    <w:uiPriority w:val="39"/>
    <w:locked/>
    <w:rsid w:val="0003106A"/>
    <w:pPr>
      <w:spacing w:after="100"/>
      <w:ind w:left="440"/>
    </w:pPr>
  </w:style>
  <w:style w:type="character" w:styleId="PlaceholderText">
    <w:name w:val="Placeholder Text"/>
    <w:basedOn w:val="DefaultParagraphFont"/>
    <w:uiPriority w:val="99"/>
    <w:semiHidden/>
    <w:rsid w:val="00CB0542"/>
    <w:rPr>
      <w:color w:val="808080"/>
    </w:rPr>
  </w:style>
  <w:style w:type="character" w:customStyle="1" w:styleId="apple-converted-space">
    <w:name w:val="apple-converted-space"/>
    <w:basedOn w:val="DefaultParagraphFont"/>
    <w:rsid w:val="002B4BB1"/>
  </w:style>
  <w:style w:type="table" w:customStyle="1" w:styleId="TableGrid11">
    <w:name w:val="Table Grid11"/>
    <w:basedOn w:val="TableNormal"/>
    <w:next w:val="TableGrid"/>
    <w:rsid w:val="00CF114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97174F"/>
    <w:rPr>
      <w:rFonts w:ascii="Calibri" w:hAnsi="Calibri"/>
      <w:b/>
      <w:color w:val="0B6965"/>
      <w:sz w:val="20"/>
      <w:szCs w:val="16"/>
      <w:lang w:val="en-US"/>
    </w:rPr>
  </w:style>
  <w:style w:type="paragraph" w:styleId="TableofFigures">
    <w:name w:val="table of figures"/>
    <w:basedOn w:val="Normal"/>
    <w:next w:val="Normal"/>
    <w:uiPriority w:val="99"/>
    <w:unhideWhenUsed/>
    <w:rsid w:val="00686399"/>
  </w:style>
  <w:style w:type="paragraph" w:customStyle="1" w:styleId="name0">
    <w:name w:val="name"/>
    <w:basedOn w:val="Normal"/>
    <w:rsid w:val="006335A5"/>
    <w:pPr>
      <w:spacing w:before="500" w:after="320" w:line="276" w:lineRule="auto"/>
      <w:jc w:val="both"/>
    </w:pPr>
    <w:rPr>
      <w:rFonts w:ascii="Candara" w:eastAsiaTheme="minorEastAsia" w:hAnsi="Candara" w:cs="Calibri"/>
      <w:b/>
      <w:bCs/>
      <w:color w:val="0D0D0D"/>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49745">
      <w:bodyDiv w:val="1"/>
      <w:marLeft w:val="0"/>
      <w:marRight w:val="0"/>
      <w:marTop w:val="0"/>
      <w:marBottom w:val="0"/>
      <w:divBdr>
        <w:top w:val="none" w:sz="0" w:space="0" w:color="auto"/>
        <w:left w:val="none" w:sz="0" w:space="0" w:color="auto"/>
        <w:bottom w:val="none" w:sz="0" w:space="0" w:color="auto"/>
        <w:right w:val="none" w:sz="0" w:space="0" w:color="auto"/>
      </w:divBdr>
    </w:div>
    <w:div w:id="138571844">
      <w:bodyDiv w:val="1"/>
      <w:marLeft w:val="0"/>
      <w:marRight w:val="0"/>
      <w:marTop w:val="0"/>
      <w:marBottom w:val="0"/>
      <w:divBdr>
        <w:top w:val="none" w:sz="0" w:space="0" w:color="auto"/>
        <w:left w:val="none" w:sz="0" w:space="0" w:color="auto"/>
        <w:bottom w:val="none" w:sz="0" w:space="0" w:color="auto"/>
        <w:right w:val="none" w:sz="0" w:space="0" w:color="auto"/>
      </w:divBdr>
    </w:div>
    <w:div w:id="146439605">
      <w:bodyDiv w:val="1"/>
      <w:marLeft w:val="0"/>
      <w:marRight w:val="0"/>
      <w:marTop w:val="0"/>
      <w:marBottom w:val="0"/>
      <w:divBdr>
        <w:top w:val="none" w:sz="0" w:space="0" w:color="auto"/>
        <w:left w:val="none" w:sz="0" w:space="0" w:color="auto"/>
        <w:bottom w:val="none" w:sz="0" w:space="0" w:color="auto"/>
        <w:right w:val="none" w:sz="0" w:space="0" w:color="auto"/>
      </w:divBdr>
    </w:div>
    <w:div w:id="201214907">
      <w:bodyDiv w:val="1"/>
      <w:marLeft w:val="0"/>
      <w:marRight w:val="0"/>
      <w:marTop w:val="0"/>
      <w:marBottom w:val="0"/>
      <w:divBdr>
        <w:top w:val="none" w:sz="0" w:space="0" w:color="auto"/>
        <w:left w:val="none" w:sz="0" w:space="0" w:color="auto"/>
        <w:bottom w:val="none" w:sz="0" w:space="0" w:color="auto"/>
        <w:right w:val="none" w:sz="0" w:space="0" w:color="auto"/>
      </w:divBdr>
    </w:div>
    <w:div w:id="293561109">
      <w:bodyDiv w:val="1"/>
      <w:marLeft w:val="0"/>
      <w:marRight w:val="0"/>
      <w:marTop w:val="0"/>
      <w:marBottom w:val="0"/>
      <w:divBdr>
        <w:top w:val="none" w:sz="0" w:space="0" w:color="auto"/>
        <w:left w:val="none" w:sz="0" w:space="0" w:color="auto"/>
        <w:bottom w:val="none" w:sz="0" w:space="0" w:color="auto"/>
        <w:right w:val="none" w:sz="0" w:space="0" w:color="auto"/>
      </w:divBdr>
      <w:divsChild>
        <w:div w:id="259219676">
          <w:marLeft w:val="274"/>
          <w:marRight w:val="0"/>
          <w:marTop w:val="0"/>
          <w:marBottom w:val="0"/>
          <w:divBdr>
            <w:top w:val="none" w:sz="0" w:space="0" w:color="auto"/>
            <w:left w:val="none" w:sz="0" w:space="0" w:color="auto"/>
            <w:bottom w:val="none" w:sz="0" w:space="0" w:color="auto"/>
            <w:right w:val="none" w:sz="0" w:space="0" w:color="auto"/>
          </w:divBdr>
        </w:div>
        <w:div w:id="461773446">
          <w:marLeft w:val="274"/>
          <w:marRight w:val="0"/>
          <w:marTop w:val="0"/>
          <w:marBottom w:val="0"/>
          <w:divBdr>
            <w:top w:val="none" w:sz="0" w:space="0" w:color="auto"/>
            <w:left w:val="none" w:sz="0" w:space="0" w:color="auto"/>
            <w:bottom w:val="none" w:sz="0" w:space="0" w:color="auto"/>
            <w:right w:val="none" w:sz="0" w:space="0" w:color="auto"/>
          </w:divBdr>
        </w:div>
        <w:div w:id="485055030">
          <w:marLeft w:val="274"/>
          <w:marRight w:val="0"/>
          <w:marTop w:val="0"/>
          <w:marBottom w:val="0"/>
          <w:divBdr>
            <w:top w:val="none" w:sz="0" w:space="0" w:color="auto"/>
            <w:left w:val="none" w:sz="0" w:space="0" w:color="auto"/>
            <w:bottom w:val="none" w:sz="0" w:space="0" w:color="auto"/>
            <w:right w:val="none" w:sz="0" w:space="0" w:color="auto"/>
          </w:divBdr>
        </w:div>
        <w:div w:id="491338443">
          <w:marLeft w:val="274"/>
          <w:marRight w:val="0"/>
          <w:marTop w:val="0"/>
          <w:marBottom w:val="0"/>
          <w:divBdr>
            <w:top w:val="none" w:sz="0" w:space="0" w:color="auto"/>
            <w:left w:val="none" w:sz="0" w:space="0" w:color="auto"/>
            <w:bottom w:val="none" w:sz="0" w:space="0" w:color="auto"/>
            <w:right w:val="none" w:sz="0" w:space="0" w:color="auto"/>
          </w:divBdr>
        </w:div>
        <w:div w:id="613680360">
          <w:marLeft w:val="274"/>
          <w:marRight w:val="0"/>
          <w:marTop w:val="0"/>
          <w:marBottom w:val="0"/>
          <w:divBdr>
            <w:top w:val="none" w:sz="0" w:space="0" w:color="auto"/>
            <w:left w:val="none" w:sz="0" w:space="0" w:color="auto"/>
            <w:bottom w:val="none" w:sz="0" w:space="0" w:color="auto"/>
            <w:right w:val="none" w:sz="0" w:space="0" w:color="auto"/>
          </w:divBdr>
        </w:div>
        <w:div w:id="631012675">
          <w:marLeft w:val="274"/>
          <w:marRight w:val="0"/>
          <w:marTop w:val="0"/>
          <w:marBottom w:val="0"/>
          <w:divBdr>
            <w:top w:val="none" w:sz="0" w:space="0" w:color="auto"/>
            <w:left w:val="none" w:sz="0" w:space="0" w:color="auto"/>
            <w:bottom w:val="none" w:sz="0" w:space="0" w:color="auto"/>
            <w:right w:val="none" w:sz="0" w:space="0" w:color="auto"/>
          </w:divBdr>
        </w:div>
        <w:div w:id="761877075">
          <w:marLeft w:val="274"/>
          <w:marRight w:val="0"/>
          <w:marTop w:val="0"/>
          <w:marBottom w:val="0"/>
          <w:divBdr>
            <w:top w:val="none" w:sz="0" w:space="0" w:color="auto"/>
            <w:left w:val="none" w:sz="0" w:space="0" w:color="auto"/>
            <w:bottom w:val="none" w:sz="0" w:space="0" w:color="auto"/>
            <w:right w:val="none" w:sz="0" w:space="0" w:color="auto"/>
          </w:divBdr>
        </w:div>
        <w:div w:id="769007441">
          <w:marLeft w:val="274"/>
          <w:marRight w:val="0"/>
          <w:marTop w:val="0"/>
          <w:marBottom w:val="0"/>
          <w:divBdr>
            <w:top w:val="none" w:sz="0" w:space="0" w:color="auto"/>
            <w:left w:val="none" w:sz="0" w:space="0" w:color="auto"/>
            <w:bottom w:val="none" w:sz="0" w:space="0" w:color="auto"/>
            <w:right w:val="none" w:sz="0" w:space="0" w:color="auto"/>
          </w:divBdr>
        </w:div>
        <w:div w:id="1175193874">
          <w:marLeft w:val="274"/>
          <w:marRight w:val="0"/>
          <w:marTop w:val="0"/>
          <w:marBottom w:val="0"/>
          <w:divBdr>
            <w:top w:val="none" w:sz="0" w:space="0" w:color="auto"/>
            <w:left w:val="none" w:sz="0" w:space="0" w:color="auto"/>
            <w:bottom w:val="none" w:sz="0" w:space="0" w:color="auto"/>
            <w:right w:val="none" w:sz="0" w:space="0" w:color="auto"/>
          </w:divBdr>
        </w:div>
        <w:div w:id="1271274857">
          <w:marLeft w:val="274"/>
          <w:marRight w:val="0"/>
          <w:marTop w:val="0"/>
          <w:marBottom w:val="0"/>
          <w:divBdr>
            <w:top w:val="none" w:sz="0" w:space="0" w:color="auto"/>
            <w:left w:val="none" w:sz="0" w:space="0" w:color="auto"/>
            <w:bottom w:val="none" w:sz="0" w:space="0" w:color="auto"/>
            <w:right w:val="none" w:sz="0" w:space="0" w:color="auto"/>
          </w:divBdr>
        </w:div>
        <w:div w:id="1528371519">
          <w:marLeft w:val="274"/>
          <w:marRight w:val="0"/>
          <w:marTop w:val="0"/>
          <w:marBottom w:val="0"/>
          <w:divBdr>
            <w:top w:val="none" w:sz="0" w:space="0" w:color="auto"/>
            <w:left w:val="none" w:sz="0" w:space="0" w:color="auto"/>
            <w:bottom w:val="none" w:sz="0" w:space="0" w:color="auto"/>
            <w:right w:val="none" w:sz="0" w:space="0" w:color="auto"/>
          </w:divBdr>
        </w:div>
        <w:div w:id="1575318573">
          <w:marLeft w:val="274"/>
          <w:marRight w:val="0"/>
          <w:marTop w:val="0"/>
          <w:marBottom w:val="0"/>
          <w:divBdr>
            <w:top w:val="none" w:sz="0" w:space="0" w:color="auto"/>
            <w:left w:val="none" w:sz="0" w:space="0" w:color="auto"/>
            <w:bottom w:val="none" w:sz="0" w:space="0" w:color="auto"/>
            <w:right w:val="none" w:sz="0" w:space="0" w:color="auto"/>
          </w:divBdr>
        </w:div>
        <w:div w:id="1748527682">
          <w:marLeft w:val="274"/>
          <w:marRight w:val="0"/>
          <w:marTop w:val="0"/>
          <w:marBottom w:val="0"/>
          <w:divBdr>
            <w:top w:val="none" w:sz="0" w:space="0" w:color="auto"/>
            <w:left w:val="none" w:sz="0" w:space="0" w:color="auto"/>
            <w:bottom w:val="none" w:sz="0" w:space="0" w:color="auto"/>
            <w:right w:val="none" w:sz="0" w:space="0" w:color="auto"/>
          </w:divBdr>
        </w:div>
        <w:div w:id="1778788898">
          <w:marLeft w:val="274"/>
          <w:marRight w:val="0"/>
          <w:marTop w:val="0"/>
          <w:marBottom w:val="0"/>
          <w:divBdr>
            <w:top w:val="none" w:sz="0" w:space="0" w:color="auto"/>
            <w:left w:val="none" w:sz="0" w:space="0" w:color="auto"/>
            <w:bottom w:val="none" w:sz="0" w:space="0" w:color="auto"/>
            <w:right w:val="none" w:sz="0" w:space="0" w:color="auto"/>
          </w:divBdr>
        </w:div>
        <w:div w:id="1843163950">
          <w:marLeft w:val="274"/>
          <w:marRight w:val="0"/>
          <w:marTop w:val="0"/>
          <w:marBottom w:val="0"/>
          <w:divBdr>
            <w:top w:val="none" w:sz="0" w:space="0" w:color="auto"/>
            <w:left w:val="none" w:sz="0" w:space="0" w:color="auto"/>
            <w:bottom w:val="none" w:sz="0" w:space="0" w:color="auto"/>
            <w:right w:val="none" w:sz="0" w:space="0" w:color="auto"/>
          </w:divBdr>
        </w:div>
        <w:div w:id="2138329644">
          <w:marLeft w:val="274"/>
          <w:marRight w:val="0"/>
          <w:marTop w:val="0"/>
          <w:marBottom w:val="0"/>
          <w:divBdr>
            <w:top w:val="none" w:sz="0" w:space="0" w:color="auto"/>
            <w:left w:val="none" w:sz="0" w:space="0" w:color="auto"/>
            <w:bottom w:val="none" w:sz="0" w:space="0" w:color="auto"/>
            <w:right w:val="none" w:sz="0" w:space="0" w:color="auto"/>
          </w:divBdr>
        </w:div>
      </w:divsChild>
    </w:div>
    <w:div w:id="305817827">
      <w:bodyDiv w:val="1"/>
      <w:marLeft w:val="0"/>
      <w:marRight w:val="0"/>
      <w:marTop w:val="0"/>
      <w:marBottom w:val="0"/>
      <w:divBdr>
        <w:top w:val="none" w:sz="0" w:space="0" w:color="auto"/>
        <w:left w:val="none" w:sz="0" w:space="0" w:color="auto"/>
        <w:bottom w:val="none" w:sz="0" w:space="0" w:color="auto"/>
        <w:right w:val="none" w:sz="0" w:space="0" w:color="auto"/>
      </w:divBdr>
    </w:div>
    <w:div w:id="315425101">
      <w:bodyDiv w:val="1"/>
      <w:marLeft w:val="0"/>
      <w:marRight w:val="0"/>
      <w:marTop w:val="0"/>
      <w:marBottom w:val="0"/>
      <w:divBdr>
        <w:top w:val="none" w:sz="0" w:space="0" w:color="auto"/>
        <w:left w:val="none" w:sz="0" w:space="0" w:color="auto"/>
        <w:bottom w:val="none" w:sz="0" w:space="0" w:color="auto"/>
        <w:right w:val="none" w:sz="0" w:space="0" w:color="auto"/>
      </w:divBdr>
    </w:div>
    <w:div w:id="343089779">
      <w:bodyDiv w:val="1"/>
      <w:marLeft w:val="0"/>
      <w:marRight w:val="0"/>
      <w:marTop w:val="0"/>
      <w:marBottom w:val="0"/>
      <w:divBdr>
        <w:top w:val="none" w:sz="0" w:space="0" w:color="auto"/>
        <w:left w:val="none" w:sz="0" w:space="0" w:color="auto"/>
        <w:bottom w:val="none" w:sz="0" w:space="0" w:color="auto"/>
        <w:right w:val="none" w:sz="0" w:space="0" w:color="auto"/>
      </w:divBdr>
    </w:div>
    <w:div w:id="400060595">
      <w:bodyDiv w:val="1"/>
      <w:marLeft w:val="0"/>
      <w:marRight w:val="0"/>
      <w:marTop w:val="0"/>
      <w:marBottom w:val="0"/>
      <w:divBdr>
        <w:top w:val="none" w:sz="0" w:space="0" w:color="auto"/>
        <w:left w:val="none" w:sz="0" w:space="0" w:color="auto"/>
        <w:bottom w:val="none" w:sz="0" w:space="0" w:color="auto"/>
        <w:right w:val="none" w:sz="0" w:space="0" w:color="auto"/>
      </w:divBdr>
      <w:divsChild>
        <w:div w:id="205528793">
          <w:marLeft w:val="274"/>
          <w:marRight w:val="0"/>
          <w:marTop w:val="0"/>
          <w:marBottom w:val="0"/>
          <w:divBdr>
            <w:top w:val="none" w:sz="0" w:space="0" w:color="auto"/>
            <w:left w:val="none" w:sz="0" w:space="0" w:color="auto"/>
            <w:bottom w:val="none" w:sz="0" w:space="0" w:color="auto"/>
            <w:right w:val="none" w:sz="0" w:space="0" w:color="auto"/>
          </w:divBdr>
        </w:div>
        <w:div w:id="417408091">
          <w:marLeft w:val="274"/>
          <w:marRight w:val="0"/>
          <w:marTop w:val="0"/>
          <w:marBottom w:val="0"/>
          <w:divBdr>
            <w:top w:val="none" w:sz="0" w:space="0" w:color="auto"/>
            <w:left w:val="none" w:sz="0" w:space="0" w:color="auto"/>
            <w:bottom w:val="none" w:sz="0" w:space="0" w:color="auto"/>
            <w:right w:val="none" w:sz="0" w:space="0" w:color="auto"/>
          </w:divBdr>
        </w:div>
        <w:div w:id="427582417">
          <w:marLeft w:val="274"/>
          <w:marRight w:val="0"/>
          <w:marTop w:val="0"/>
          <w:marBottom w:val="0"/>
          <w:divBdr>
            <w:top w:val="none" w:sz="0" w:space="0" w:color="auto"/>
            <w:left w:val="none" w:sz="0" w:space="0" w:color="auto"/>
            <w:bottom w:val="none" w:sz="0" w:space="0" w:color="auto"/>
            <w:right w:val="none" w:sz="0" w:space="0" w:color="auto"/>
          </w:divBdr>
        </w:div>
        <w:div w:id="631323159">
          <w:marLeft w:val="274"/>
          <w:marRight w:val="0"/>
          <w:marTop w:val="0"/>
          <w:marBottom w:val="0"/>
          <w:divBdr>
            <w:top w:val="none" w:sz="0" w:space="0" w:color="auto"/>
            <w:left w:val="none" w:sz="0" w:space="0" w:color="auto"/>
            <w:bottom w:val="none" w:sz="0" w:space="0" w:color="auto"/>
            <w:right w:val="none" w:sz="0" w:space="0" w:color="auto"/>
          </w:divBdr>
        </w:div>
        <w:div w:id="658193232">
          <w:marLeft w:val="274"/>
          <w:marRight w:val="0"/>
          <w:marTop w:val="0"/>
          <w:marBottom w:val="0"/>
          <w:divBdr>
            <w:top w:val="none" w:sz="0" w:space="0" w:color="auto"/>
            <w:left w:val="none" w:sz="0" w:space="0" w:color="auto"/>
            <w:bottom w:val="none" w:sz="0" w:space="0" w:color="auto"/>
            <w:right w:val="none" w:sz="0" w:space="0" w:color="auto"/>
          </w:divBdr>
        </w:div>
        <w:div w:id="660738942">
          <w:marLeft w:val="274"/>
          <w:marRight w:val="0"/>
          <w:marTop w:val="0"/>
          <w:marBottom w:val="0"/>
          <w:divBdr>
            <w:top w:val="none" w:sz="0" w:space="0" w:color="auto"/>
            <w:left w:val="none" w:sz="0" w:space="0" w:color="auto"/>
            <w:bottom w:val="none" w:sz="0" w:space="0" w:color="auto"/>
            <w:right w:val="none" w:sz="0" w:space="0" w:color="auto"/>
          </w:divBdr>
        </w:div>
        <w:div w:id="685332490">
          <w:marLeft w:val="274"/>
          <w:marRight w:val="0"/>
          <w:marTop w:val="0"/>
          <w:marBottom w:val="0"/>
          <w:divBdr>
            <w:top w:val="none" w:sz="0" w:space="0" w:color="auto"/>
            <w:left w:val="none" w:sz="0" w:space="0" w:color="auto"/>
            <w:bottom w:val="none" w:sz="0" w:space="0" w:color="auto"/>
            <w:right w:val="none" w:sz="0" w:space="0" w:color="auto"/>
          </w:divBdr>
        </w:div>
        <w:div w:id="834954651">
          <w:marLeft w:val="274"/>
          <w:marRight w:val="0"/>
          <w:marTop w:val="0"/>
          <w:marBottom w:val="0"/>
          <w:divBdr>
            <w:top w:val="none" w:sz="0" w:space="0" w:color="auto"/>
            <w:left w:val="none" w:sz="0" w:space="0" w:color="auto"/>
            <w:bottom w:val="none" w:sz="0" w:space="0" w:color="auto"/>
            <w:right w:val="none" w:sz="0" w:space="0" w:color="auto"/>
          </w:divBdr>
        </w:div>
        <w:div w:id="1091316339">
          <w:marLeft w:val="274"/>
          <w:marRight w:val="0"/>
          <w:marTop w:val="0"/>
          <w:marBottom w:val="0"/>
          <w:divBdr>
            <w:top w:val="none" w:sz="0" w:space="0" w:color="auto"/>
            <w:left w:val="none" w:sz="0" w:space="0" w:color="auto"/>
            <w:bottom w:val="none" w:sz="0" w:space="0" w:color="auto"/>
            <w:right w:val="none" w:sz="0" w:space="0" w:color="auto"/>
          </w:divBdr>
        </w:div>
        <w:div w:id="1334264093">
          <w:marLeft w:val="274"/>
          <w:marRight w:val="0"/>
          <w:marTop w:val="0"/>
          <w:marBottom w:val="0"/>
          <w:divBdr>
            <w:top w:val="none" w:sz="0" w:space="0" w:color="auto"/>
            <w:left w:val="none" w:sz="0" w:space="0" w:color="auto"/>
            <w:bottom w:val="none" w:sz="0" w:space="0" w:color="auto"/>
            <w:right w:val="none" w:sz="0" w:space="0" w:color="auto"/>
          </w:divBdr>
        </w:div>
        <w:div w:id="1377585877">
          <w:marLeft w:val="274"/>
          <w:marRight w:val="0"/>
          <w:marTop w:val="0"/>
          <w:marBottom w:val="0"/>
          <w:divBdr>
            <w:top w:val="none" w:sz="0" w:space="0" w:color="auto"/>
            <w:left w:val="none" w:sz="0" w:space="0" w:color="auto"/>
            <w:bottom w:val="none" w:sz="0" w:space="0" w:color="auto"/>
            <w:right w:val="none" w:sz="0" w:space="0" w:color="auto"/>
          </w:divBdr>
        </w:div>
        <w:div w:id="1402748426">
          <w:marLeft w:val="274"/>
          <w:marRight w:val="0"/>
          <w:marTop w:val="0"/>
          <w:marBottom w:val="0"/>
          <w:divBdr>
            <w:top w:val="none" w:sz="0" w:space="0" w:color="auto"/>
            <w:left w:val="none" w:sz="0" w:space="0" w:color="auto"/>
            <w:bottom w:val="none" w:sz="0" w:space="0" w:color="auto"/>
            <w:right w:val="none" w:sz="0" w:space="0" w:color="auto"/>
          </w:divBdr>
        </w:div>
        <w:div w:id="1463839717">
          <w:marLeft w:val="274"/>
          <w:marRight w:val="0"/>
          <w:marTop w:val="0"/>
          <w:marBottom w:val="0"/>
          <w:divBdr>
            <w:top w:val="none" w:sz="0" w:space="0" w:color="auto"/>
            <w:left w:val="none" w:sz="0" w:space="0" w:color="auto"/>
            <w:bottom w:val="none" w:sz="0" w:space="0" w:color="auto"/>
            <w:right w:val="none" w:sz="0" w:space="0" w:color="auto"/>
          </w:divBdr>
        </w:div>
        <w:div w:id="1710372674">
          <w:marLeft w:val="274"/>
          <w:marRight w:val="0"/>
          <w:marTop w:val="0"/>
          <w:marBottom w:val="0"/>
          <w:divBdr>
            <w:top w:val="none" w:sz="0" w:space="0" w:color="auto"/>
            <w:left w:val="none" w:sz="0" w:space="0" w:color="auto"/>
            <w:bottom w:val="none" w:sz="0" w:space="0" w:color="auto"/>
            <w:right w:val="none" w:sz="0" w:space="0" w:color="auto"/>
          </w:divBdr>
        </w:div>
        <w:div w:id="1905214947">
          <w:marLeft w:val="274"/>
          <w:marRight w:val="0"/>
          <w:marTop w:val="0"/>
          <w:marBottom w:val="0"/>
          <w:divBdr>
            <w:top w:val="none" w:sz="0" w:space="0" w:color="auto"/>
            <w:left w:val="none" w:sz="0" w:space="0" w:color="auto"/>
            <w:bottom w:val="none" w:sz="0" w:space="0" w:color="auto"/>
            <w:right w:val="none" w:sz="0" w:space="0" w:color="auto"/>
          </w:divBdr>
        </w:div>
        <w:div w:id="1954629207">
          <w:marLeft w:val="274"/>
          <w:marRight w:val="0"/>
          <w:marTop w:val="0"/>
          <w:marBottom w:val="0"/>
          <w:divBdr>
            <w:top w:val="none" w:sz="0" w:space="0" w:color="auto"/>
            <w:left w:val="none" w:sz="0" w:space="0" w:color="auto"/>
            <w:bottom w:val="none" w:sz="0" w:space="0" w:color="auto"/>
            <w:right w:val="none" w:sz="0" w:space="0" w:color="auto"/>
          </w:divBdr>
        </w:div>
      </w:divsChild>
    </w:div>
    <w:div w:id="603922248">
      <w:bodyDiv w:val="1"/>
      <w:marLeft w:val="0"/>
      <w:marRight w:val="0"/>
      <w:marTop w:val="0"/>
      <w:marBottom w:val="0"/>
      <w:divBdr>
        <w:top w:val="none" w:sz="0" w:space="0" w:color="auto"/>
        <w:left w:val="none" w:sz="0" w:space="0" w:color="auto"/>
        <w:bottom w:val="none" w:sz="0" w:space="0" w:color="auto"/>
        <w:right w:val="none" w:sz="0" w:space="0" w:color="auto"/>
      </w:divBdr>
    </w:div>
    <w:div w:id="680204350">
      <w:bodyDiv w:val="1"/>
      <w:marLeft w:val="0"/>
      <w:marRight w:val="0"/>
      <w:marTop w:val="0"/>
      <w:marBottom w:val="0"/>
      <w:divBdr>
        <w:top w:val="none" w:sz="0" w:space="0" w:color="auto"/>
        <w:left w:val="none" w:sz="0" w:space="0" w:color="auto"/>
        <w:bottom w:val="none" w:sz="0" w:space="0" w:color="auto"/>
        <w:right w:val="none" w:sz="0" w:space="0" w:color="auto"/>
      </w:divBdr>
    </w:div>
    <w:div w:id="750734021">
      <w:bodyDiv w:val="1"/>
      <w:marLeft w:val="0"/>
      <w:marRight w:val="0"/>
      <w:marTop w:val="0"/>
      <w:marBottom w:val="0"/>
      <w:divBdr>
        <w:top w:val="none" w:sz="0" w:space="0" w:color="auto"/>
        <w:left w:val="none" w:sz="0" w:space="0" w:color="auto"/>
        <w:bottom w:val="none" w:sz="0" w:space="0" w:color="auto"/>
        <w:right w:val="none" w:sz="0" w:space="0" w:color="auto"/>
      </w:divBdr>
    </w:div>
    <w:div w:id="805270976">
      <w:marLeft w:val="0"/>
      <w:marRight w:val="0"/>
      <w:marTop w:val="0"/>
      <w:marBottom w:val="0"/>
      <w:divBdr>
        <w:top w:val="none" w:sz="0" w:space="0" w:color="auto"/>
        <w:left w:val="none" w:sz="0" w:space="0" w:color="auto"/>
        <w:bottom w:val="none" w:sz="0" w:space="0" w:color="auto"/>
        <w:right w:val="none" w:sz="0" w:space="0" w:color="auto"/>
      </w:divBdr>
      <w:divsChild>
        <w:div w:id="805270978">
          <w:marLeft w:val="0"/>
          <w:marRight w:val="0"/>
          <w:marTop w:val="0"/>
          <w:marBottom w:val="0"/>
          <w:divBdr>
            <w:top w:val="none" w:sz="0" w:space="0" w:color="auto"/>
            <w:left w:val="none" w:sz="0" w:space="0" w:color="auto"/>
            <w:bottom w:val="none" w:sz="0" w:space="0" w:color="auto"/>
            <w:right w:val="none" w:sz="0" w:space="0" w:color="auto"/>
          </w:divBdr>
        </w:div>
      </w:divsChild>
    </w:div>
    <w:div w:id="805270977">
      <w:marLeft w:val="0"/>
      <w:marRight w:val="0"/>
      <w:marTop w:val="0"/>
      <w:marBottom w:val="0"/>
      <w:divBdr>
        <w:top w:val="none" w:sz="0" w:space="0" w:color="auto"/>
        <w:left w:val="none" w:sz="0" w:space="0" w:color="auto"/>
        <w:bottom w:val="none" w:sz="0" w:space="0" w:color="auto"/>
        <w:right w:val="none" w:sz="0" w:space="0" w:color="auto"/>
      </w:divBdr>
      <w:divsChild>
        <w:div w:id="805270980">
          <w:marLeft w:val="0"/>
          <w:marRight w:val="0"/>
          <w:marTop w:val="0"/>
          <w:marBottom w:val="0"/>
          <w:divBdr>
            <w:top w:val="none" w:sz="0" w:space="0" w:color="auto"/>
            <w:left w:val="none" w:sz="0" w:space="0" w:color="auto"/>
            <w:bottom w:val="none" w:sz="0" w:space="0" w:color="auto"/>
            <w:right w:val="none" w:sz="0" w:space="0" w:color="auto"/>
          </w:divBdr>
        </w:div>
      </w:divsChild>
    </w:div>
    <w:div w:id="805270979">
      <w:marLeft w:val="0"/>
      <w:marRight w:val="0"/>
      <w:marTop w:val="0"/>
      <w:marBottom w:val="0"/>
      <w:divBdr>
        <w:top w:val="none" w:sz="0" w:space="0" w:color="auto"/>
        <w:left w:val="none" w:sz="0" w:space="0" w:color="auto"/>
        <w:bottom w:val="none" w:sz="0" w:space="0" w:color="auto"/>
        <w:right w:val="none" w:sz="0" w:space="0" w:color="auto"/>
      </w:divBdr>
      <w:divsChild>
        <w:div w:id="805270981">
          <w:marLeft w:val="0"/>
          <w:marRight w:val="0"/>
          <w:marTop w:val="0"/>
          <w:marBottom w:val="0"/>
          <w:divBdr>
            <w:top w:val="none" w:sz="0" w:space="0" w:color="auto"/>
            <w:left w:val="none" w:sz="0" w:space="0" w:color="auto"/>
            <w:bottom w:val="none" w:sz="0" w:space="0" w:color="auto"/>
            <w:right w:val="none" w:sz="0" w:space="0" w:color="auto"/>
          </w:divBdr>
        </w:div>
      </w:divsChild>
    </w:div>
    <w:div w:id="805270983">
      <w:marLeft w:val="0"/>
      <w:marRight w:val="0"/>
      <w:marTop w:val="0"/>
      <w:marBottom w:val="0"/>
      <w:divBdr>
        <w:top w:val="none" w:sz="0" w:space="0" w:color="auto"/>
        <w:left w:val="none" w:sz="0" w:space="0" w:color="auto"/>
        <w:bottom w:val="none" w:sz="0" w:space="0" w:color="auto"/>
        <w:right w:val="none" w:sz="0" w:space="0" w:color="auto"/>
      </w:divBdr>
      <w:divsChild>
        <w:div w:id="805270982">
          <w:marLeft w:val="0"/>
          <w:marRight w:val="0"/>
          <w:marTop w:val="0"/>
          <w:marBottom w:val="0"/>
          <w:divBdr>
            <w:top w:val="none" w:sz="0" w:space="0" w:color="auto"/>
            <w:left w:val="none" w:sz="0" w:space="0" w:color="auto"/>
            <w:bottom w:val="none" w:sz="0" w:space="0" w:color="auto"/>
            <w:right w:val="none" w:sz="0" w:space="0" w:color="auto"/>
          </w:divBdr>
        </w:div>
      </w:divsChild>
    </w:div>
    <w:div w:id="805270984">
      <w:marLeft w:val="0"/>
      <w:marRight w:val="0"/>
      <w:marTop w:val="0"/>
      <w:marBottom w:val="0"/>
      <w:divBdr>
        <w:top w:val="none" w:sz="0" w:space="0" w:color="auto"/>
        <w:left w:val="none" w:sz="0" w:space="0" w:color="auto"/>
        <w:bottom w:val="none" w:sz="0" w:space="0" w:color="auto"/>
        <w:right w:val="none" w:sz="0" w:space="0" w:color="auto"/>
      </w:divBdr>
      <w:divsChild>
        <w:div w:id="805270985">
          <w:marLeft w:val="0"/>
          <w:marRight w:val="0"/>
          <w:marTop w:val="0"/>
          <w:marBottom w:val="0"/>
          <w:divBdr>
            <w:top w:val="none" w:sz="0" w:space="0" w:color="auto"/>
            <w:left w:val="none" w:sz="0" w:space="0" w:color="auto"/>
            <w:bottom w:val="none" w:sz="0" w:space="0" w:color="auto"/>
            <w:right w:val="none" w:sz="0" w:space="0" w:color="auto"/>
          </w:divBdr>
        </w:div>
      </w:divsChild>
    </w:div>
    <w:div w:id="871848776">
      <w:bodyDiv w:val="1"/>
      <w:marLeft w:val="0"/>
      <w:marRight w:val="0"/>
      <w:marTop w:val="0"/>
      <w:marBottom w:val="0"/>
      <w:divBdr>
        <w:top w:val="none" w:sz="0" w:space="0" w:color="auto"/>
        <w:left w:val="none" w:sz="0" w:space="0" w:color="auto"/>
        <w:bottom w:val="none" w:sz="0" w:space="0" w:color="auto"/>
        <w:right w:val="none" w:sz="0" w:space="0" w:color="auto"/>
      </w:divBdr>
    </w:div>
    <w:div w:id="979728286">
      <w:bodyDiv w:val="1"/>
      <w:marLeft w:val="0"/>
      <w:marRight w:val="0"/>
      <w:marTop w:val="0"/>
      <w:marBottom w:val="0"/>
      <w:divBdr>
        <w:top w:val="none" w:sz="0" w:space="0" w:color="auto"/>
        <w:left w:val="none" w:sz="0" w:space="0" w:color="auto"/>
        <w:bottom w:val="none" w:sz="0" w:space="0" w:color="auto"/>
        <w:right w:val="none" w:sz="0" w:space="0" w:color="auto"/>
      </w:divBdr>
    </w:div>
    <w:div w:id="1005472501">
      <w:bodyDiv w:val="1"/>
      <w:marLeft w:val="0"/>
      <w:marRight w:val="0"/>
      <w:marTop w:val="0"/>
      <w:marBottom w:val="0"/>
      <w:divBdr>
        <w:top w:val="none" w:sz="0" w:space="0" w:color="auto"/>
        <w:left w:val="none" w:sz="0" w:space="0" w:color="auto"/>
        <w:bottom w:val="none" w:sz="0" w:space="0" w:color="auto"/>
        <w:right w:val="none" w:sz="0" w:space="0" w:color="auto"/>
      </w:divBdr>
    </w:div>
    <w:div w:id="1034621629">
      <w:bodyDiv w:val="1"/>
      <w:marLeft w:val="0"/>
      <w:marRight w:val="0"/>
      <w:marTop w:val="0"/>
      <w:marBottom w:val="0"/>
      <w:divBdr>
        <w:top w:val="none" w:sz="0" w:space="0" w:color="auto"/>
        <w:left w:val="none" w:sz="0" w:space="0" w:color="auto"/>
        <w:bottom w:val="none" w:sz="0" w:space="0" w:color="auto"/>
        <w:right w:val="none" w:sz="0" w:space="0" w:color="auto"/>
      </w:divBdr>
    </w:div>
    <w:div w:id="1082022073">
      <w:bodyDiv w:val="1"/>
      <w:marLeft w:val="0"/>
      <w:marRight w:val="0"/>
      <w:marTop w:val="0"/>
      <w:marBottom w:val="0"/>
      <w:divBdr>
        <w:top w:val="none" w:sz="0" w:space="0" w:color="auto"/>
        <w:left w:val="none" w:sz="0" w:space="0" w:color="auto"/>
        <w:bottom w:val="none" w:sz="0" w:space="0" w:color="auto"/>
        <w:right w:val="none" w:sz="0" w:space="0" w:color="auto"/>
      </w:divBdr>
    </w:div>
    <w:div w:id="1226180920">
      <w:bodyDiv w:val="1"/>
      <w:marLeft w:val="0"/>
      <w:marRight w:val="0"/>
      <w:marTop w:val="0"/>
      <w:marBottom w:val="0"/>
      <w:divBdr>
        <w:top w:val="none" w:sz="0" w:space="0" w:color="auto"/>
        <w:left w:val="none" w:sz="0" w:space="0" w:color="auto"/>
        <w:bottom w:val="none" w:sz="0" w:space="0" w:color="auto"/>
        <w:right w:val="none" w:sz="0" w:space="0" w:color="auto"/>
      </w:divBdr>
    </w:div>
    <w:div w:id="1386565748">
      <w:bodyDiv w:val="1"/>
      <w:marLeft w:val="0"/>
      <w:marRight w:val="0"/>
      <w:marTop w:val="0"/>
      <w:marBottom w:val="0"/>
      <w:divBdr>
        <w:top w:val="none" w:sz="0" w:space="0" w:color="auto"/>
        <w:left w:val="none" w:sz="0" w:space="0" w:color="auto"/>
        <w:bottom w:val="none" w:sz="0" w:space="0" w:color="auto"/>
        <w:right w:val="none" w:sz="0" w:space="0" w:color="auto"/>
      </w:divBdr>
    </w:div>
    <w:div w:id="1392343769">
      <w:bodyDiv w:val="1"/>
      <w:marLeft w:val="0"/>
      <w:marRight w:val="0"/>
      <w:marTop w:val="0"/>
      <w:marBottom w:val="0"/>
      <w:divBdr>
        <w:top w:val="none" w:sz="0" w:space="0" w:color="auto"/>
        <w:left w:val="none" w:sz="0" w:space="0" w:color="auto"/>
        <w:bottom w:val="none" w:sz="0" w:space="0" w:color="auto"/>
        <w:right w:val="none" w:sz="0" w:space="0" w:color="auto"/>
      </w:divBdr>
    </w:div>
    <w:div w:id="1407916803">
      <w:bodyDiv w:val="1"/>
      <w:marLeft w:val="0"/>
      <w:marRight w:val="0"/>
      <w:marTop w:val="0"/>
      <w:marBottom w:val="0"/>
      <w:divBdr>
        <w:top w:val="none" w:sz="0" w:space="0" w:color="auto"/>
        <w:left w:val="none" w:sz="0" w:space="0" w:color="auto"/>
        <w:bottom w:val="none" w:sz="0" w:space="0" w:color="auto"/>
        <w:right w:val="none" w:sz="0" w:space="0" w:color="auto"/>
      </w:divBdr>
    </w:div>
    <w:div w:id="1439443723">
      <w:bodyDiv w:val="1"/>
      <w:marLeft w:val="0"/>
      <w:marRight w:val="0"/>
      <w:marTop w:val="0"/>
      <w:marBottom w:val="0"/>
      <w:divBdr>
        <w:top w:val="none" w:sz="0" w:space="0" w:color="auto"/>
        <w:left w:val="none" w:sz="0" w:space="0" w:color="auto"/>
        <w:bottom w:val="none" w:sz="0" w:space="0" w:color="auto"/>
        <w:right w:val="none" w:sz="0" w:space="0" w:color="auto"/>
      </w:divBdr>
    </w:div>
    <w:div w:id="1472750445">
      <w:bodyDiv w:val="1"/>
      <w:marLeft w:val="0"/>
      <w:marRight w:val="0"/>
      <w:marTop w:val="0"/>
      <w:marBottom w:val="0"/>
      <w:divBdr>
        <w:top w:val="none" w:sz="0" w:space="0" w:color="auto"/>
        <w:left w:val="none" w:sz="0" w:space="0" w:color="auto"/>
        <w:bottom w:val="none" w:sz="0" w:space="0" w:color="auto"/>
        <w:right w:val="none" w:sz="0" w:space="0" w:color="auto"/>
      </w:divBdr>
    </w:div>
    <w:div w:id="1608153945">
      <w:bodyDiv w:val="1"/>
      <w:marLeft w:val="0"/>
      <w:marRight w:val="0"/>
      <w:marTop w:val="0"/>
      <w:marBottom w:val="0"/>
      <w:divBdr>
        <w:top w:val="none" w:sz="0" w:space="0" w:color="auto"/>
        <w:left w:val="none" w:sz="0" w:space="0" w:color="auto"/>
        <w:bottom w:val="none" w:sz="0" w:space="0" w:color="auto"/>
        <w:right w:val="none" w:sz="0" w:space="0" w:color="auto"/>
      </w:divBdr>
    </w:div>
    <w:div w:id="1670408652">
      <w:bodyDiv w:val="1"/>
      <w:marLeft w:val="0"/>
      <w:marRight w:val="0"/>
      <w:marTop w:val="0"/>
      <w:marBottom w:val="0"/>
      <w:divBdr>
        <w:top w:val="none" w:sz="0" w:space="0" w:color="auto"/>
        <w:left w:val="none" w:sz="0" w:space="0" w:color="auto"/>
        <w:bottom w:val="none" w:sz="0" w:space="0" w:color="auto"/>
        <w:right w:val="none" w:sz="0" w:space="0" w:color="auto"/>
      </w:divBdr>
    </w:div>
    <w:div w:id="1855798309">
      <w:bodyDiv w:val="1"/>
      <w:marLeft w:val="0"/>
      <w:marRight w:val="0"/>
      <w:marTop w:val="0"/>
      <w:marBottom w:val="0"/>
      <w:divBdr>
        <w:top w:val="none" w:sz="0" w:space="0" w:color="auto"/>
        <w:left w:val="none" w:sz="0" w:space="0" w:color="auto"/>
        <w:bottom w:val="none" w:sz="0" w:space="0" w:color="auto"/>
        <w:right w:val="none" w:sz="0" w:space="0" w:color="auto"/>
      </w:divBdr>
    </w:div>
    <w:div w:id="1890845122">
      <w:bodyDiv w:val="1"/>
      <w:marLeft w:val="0"/>
      <w:marRight w:val="0"/>
      <w:marTop w:val="0"/>
      <w:marBottom w:val="0"/>
      <w:divBdr>
        <w:top w:val="none" w:sz="0" w:space="0" w:color="auto"/>
        <w:left w:val="none" w:sz="0" w:space="0" w:color="auto"/>
        <w:bottom w:val="none" w:sz="0" w:space="0" w:color="auto"/>
        <w:right w:val="none" w:sz="0" w:space="0" w:color="auto"/>
      </w:divBdr>
    </w:div>
    <w:div w:id="2061323010">
      <w:bodyDiv w:val="1"/>
      <w:marLeft w:val="0"/>
      <w:marRight w:val="0"/>
      <w:marTop w:val="0"/>
      <w:marBottom w:val="0"/>
      <w:divBdr>
        <w:top w:val="none" w:sz="0" w:space="0" w:color="auto"/>
        <w:left w:val="none" w:sz="0" w:space="0" w:color="auto"/>
        <w:bottom w:val="none" w:sz="0" w:space="0" w:color="auto"/>
        <w:right w:val="none" w:sz="0" w:space="0" w:color="auto"/>
      </w:divBdr>
    </w:div>
    <w:div w:id="208352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cb.europa.eu/paym/pdf/cons/euro_risk-free_rates/ecb.eoniatransitionreport201812.en.pdf" TargetMode="External"/><Relationship Id="rId3" Type="http://schemas.openxmlformats.org/officeDocument/2006/relationships/styles" Target="styles.xml"/><Relationship Id="rId21" Type="http://schemas.openxmlformats.org/officeDocument/2006/relationships/hyperlink" Target="mailto:eonia2019@emmi-benchmarks.e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cb.europa.eu/press/pr/date/2018/html/ecb.pr180913.en.html" TargetMode="External"/><Relationship Id="rId2" Type="http://schemas.openxmlformats.org/officeDocument/2006/relationships/numbering" Target="numbering.xml"/><Relationship Id="rId16" Type="http://schemas.openxmlformats.org/officeDocument/2006/relationships/hyperlink" Target="https://www.ecb.europa.eu/press/pr/date/2017/html/ecb.pr170921.en.html" TargetMode="External"/><Relationship Id="rId20" Type="http://schemas.openxmlformats.org/officeDocument/2006/relationships/hyperlink" Target="https://www.emmi-benchmarks.eu/assets/files/D0088-2019%20EONIA%20consultation%20RFR%20W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cb.europa.eu/paym/pdf/cons/euoir/consultation_details_201711.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ecb.europa.eu/press/pr/date/2019/html/ecb.pr190314_1~af10eb740e.en.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cb.europa.eu/paym/pdf/cons/euoir/consultation_details_201711.pdf"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info@emmi-benchmarks.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mmi-benchmarks.eu/assets/files/D0365C-2014-EMMI%20Consultation%20Policy-procedures_4Nov2014.pdf" TargetMode="External"/><Relationship Id="rId2" Type="http://schemas.openxmlformats.org/officeDocument/2006/relationships/hyperlink" Target="https://www.ecb.europa.eu/paym/initiatives/interest_rate_benchmarks/WG_euro_risk-free_rates/shared/pdf/2017_11_29_terms_of_reference.pdf" TargetMode="External"/><Relationship Id="rId1" Type="http://schemas.openxmlformats.org/officeDocument/2006/relationships/hyperlink" Target="http://eur-lex.europa.eu/legal-content/EN/TXT/PDF/?uri=CELEX:32016R1011&amp;qid=1471269466723&amp;fr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opez\Documents\Custom%20Office%20Templates\Eonia_2sided_restric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044C4-B7D1-4BD7-91E8-049CAD51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Eonia_2sided_restricted.dotx</Template>
  <TotalTime>0</TotalTime>
  <Pages>4</Pages>
  <Words>1290</Words>
  <Characters>6803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Promontory Financial Group</Company>
  <LinksUpToDate>false</LinksUpToDate>
  <CharactersWithSpaces>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Lopez</dc:creator>
  <cp:keywords/>
  <dc:description/>
  <cp:lastModifiedBy>Alberto Lopez</cp:lastModifiedBy>
  <cp:revision>2</cp:revision>
  <cp:lastPrinted>2017-05-22T08:25:00Z</cp:lastPrinted>
  <dcterms:created xsi:type="dcterms:W3CDTF">2019-04-05T15:30:00Z</dcterms:created>
  <dcterms:modified xsi:type="dcterms:W3CDTF">2019-04-05T15:30:00Z</dcterms:modified>
</cp:coreProperties>
</file>